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00B42C23" w:rsidP="59D3369C" w:rsidRDefault="00B42C23" w14:paraId="3656B9AB" wp14:textId="77777777" wp14:noSpellErr="1">
      <w:pPr>
        <w:rPr>
          <w:rFonts w:ascii="Lato" w:hAnsi="Lato"/>
          <w:b w:val="1"/>
          <w:bCs w:val="1"/>
          <w:sz w:val="22"/>
          <w:szCs w:val="22"/>
        </w:rPr>
      </w:pPr>
    </w:p>
    <w:p xmlns:wp14="http://schemas.microsoft.com/office/word/2010/wordml" w:rsidR="006D1DF1" w:rsidRDefault="006D1DF1" w14:paraId="2ADD170F" wp14:textId="4518FF77">
      <w:pPr/>
    </w:p>
    <w:tbl>
      <w:tblPr>
        <w:tblStyle w:val="TableNormal"/>
        <w:tblW w:w="0" w:type="auto"/>
        <w:tblLayout w:type="fixed"/>
        <w:tblLook w:val="04A0" w:firstRow="1" w:lastRow="0" w:firstColumn="1" w:lastColumn="0" w:noHBand="0" w:noVBand="1"/>
      </w:tblPr>
      <w:tblGrid>
        <w:gridCol w:w="1809"/>
        <w:gridCol w:w="5812"/>
        <w:gridCol w:w="2679"/>
      </w:tblGrid>
      <w:tr w:rsidR="59D3369C" w:rsidTr="21BC26E3" w14:paraId="042074B0">
        <w:trPr>
          <w:trHeight w:val="840"/>
        </w:trPr>
        <w:tc>
          <w:tcPr>
            <w:tcW w:w="7621" w:type="dxa"/>
            <w:gridSpan w:val="2"/>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59D3369C" w:rsidP="59D3369C" w:rsidRDefault="59D3369C" w14:paraId="207ADBD9" w14:textId="283B1E59">
            <w:pPr>
              <w:spacing w:before="0" w:beforeAutospacing="off" w:after="0" w:afterAutospacing="off"/>
            </w:pPr>
            <w:r w:rsidRPr="59D3369C" w:rsidR="59D3369C">
              <w:rPr>
                <w:rFonts w:ascii="Oswald" w:hAnsi="Oswald" w:eastAsia="Oswald" w:cs="Oswald"/>
                <w:b w:val="1"/>
                <w:bCs w:val="1"/>
                <w:smallCaps w:val="1"/>
                <w:sz w:val="24"/>
                <w:szCs w:val="24"/>
              </w:rPr>
              <w:t>ROLE PROFILE: Head of Results and Resource Centre</w:t>
            </w:r>
          </w:p>
          <w:p w:rsidR="59D3369C" w:rsidP="59D3369C" w:rsidRDefault="59D3369C" w14:paraId="30AEFC96" w14:textId="1FB592E3">
            <w:pPr>
              <w:spacing w:before="0" w:beforeAutospacing="off" w:after="0" w:afterAutospacing="off"/>
              <w:jc w:val="center"/>
            </w:pPr>
            <w:r w:rsidRPr="59D3369C" w:rsidR="59D3369C">
              <w:rPr>
                <w:rFonts w:ascii="Arial" w:hAnsi="Arial" w:eastAsia="Arial" w:cs="Arial"/>
                <w:b w:val="1"/>
                <w:bCs w:val="1"/>
                <w:sz w:val="18"/>
                <w:szCs w:val="18"/>
              </w:rPr>
              <w:t xml:space="preserve"> </w:t>
            </w:r>
          </w:p>
        </w:tc>
        <w:tc>
          <w:tcPr>
            <w:tcW w:w="2679" w:type="dxa"/>
            <w:vMerge w:val="restart"/>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59D3369C" w:rsidP="59D3369C" w:rsidRDefault="59D3369C" w14:paraId="338B97AB" w14:textId="5BA55038">
            <w:pPr>
              <w:spacing w:before="0" w:beforeAutospacing="off" w:after="0" w:afterAutospacing="off"/>
              <w:jc w:val="right"/>
            </w:pPr>
            <w:r w:rsidRPr="21BC26E3" w:rsidR="59D3369C">
              <w:rPr>
                <w:rFonts w:ascii="Calibri" w:hAnsi="Calibri" w:eastAsia="Calibri" w:cs="Calibri"/>
                <w:b w:val="1"/>
                <w:bCs w:val="1"/>
                <w:sz w:val="20"/>
                <w:szCs w:val="20"/>
              </w:rPr>
              <w:t xml:space="preserve"> </w:t>
            </w:r>
          </w:p>
          <w:p w:rsidR="59D3369C" w:rsidP="21BC26E3" w:rsidRDefault="59D3369C" w14:paraId="232A54D0" w14:textId="7515DC02">
            <w:pPr>
              <w:pStyle w:val="Normal"/>
              <w:spacing w:before="0" w:beforeAutospacing="off" w:after="0" w:afterAutospacing="off"/>
              <w:jc w:val="center"/>
            </w:pPr>
            <w:r w:rsidR="12E405F0">
              <w:drawing>
                <wp:inline wp14:editId="57462658" wp14:anchorId="1B24C5FD">
                  <wp:extent cx="1562100" cy="333375"/>
                  <wp:effectExtent l="0" t="0" r="0" b="0"/>
                  <wp:docPr id="1888972797" name="" title=""/>
                  <wp:cNvGraphicFramePr>
                    <a:graphicFrameLocks noChangeAspect="1"/>
                  </wp:cNvGraphicFramePr>
                  <a:graphic>
                    <a:graphicData uri="http://schemas.openxmlformats.org/drawingml/2006/picture">
                      <pic:pic>
                        <pic:nvPicPr>
                          <pic:cNvPr id="0" name=""/>
                          <pic:cNvPicPr/>
                        </pic:nvPicPr>
                        <pic:blipFill>
                          <a:blip r:embed="Rd52fd35a25614d63">
                            <a:extLst>
                              <a:ext xmlns:a="http://schemas.openxmlformats.org/drawingml/2006/main" uri="{28A0092B-C50C-407E-A947-70E740481C1C}">
                                <a14:useLocalDpi val="0"/>
                              </a:ext>
                            </a:extLst>
                          </a:blip>
                          <a:stretch>
                            <a:fillRect/>
                          </a:stretch>
                        </pic:blipFill>
                        <pic:spPr>
                          <a:xfrm>
                            <a:off x="0" y="0"/>
                            <a:ext cx="1562100" cy="333375"/>
                          </a:xfrm>
                          <a:prstGeom prst="rect">
                            <a:avLst/>
                          </a:prstGeom>
                        </pic:spPr>
                      </pic:pic>
                    </a:graphicData>
                  </a:graphic>
                </wp:inline>
              </w:drawing>
            </w:r>
            <w:r>
              <w:br/>
            </w:r>
          </w:p>
        </w:tc>
      </w:tr>
      <w:tr w:rsidR="59D3369C" w:rsidTr="21BC26E3" w14:paraId="171AB44C">
        <w:trPr>
          <w:trHeight w:val="495"/>
        </w:trPr>
        <w:tc>
          <w:tcPr>
            <w:tcW w:w="18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59D3369C" w:rsidP="59D3369C" w:rsidRDefault="59D3369C" w14:paraId="20B1E189" w14:textId="313C79EB">
            <w:pPr>
              <w:spacing w:before="0" w:beforeAutospacing="off" w:after="0" w:afterAutospacing="off"/>
            </w:pPr>
            <w:r w:rsidRPr="59D3369C" w:rsidR="59D3369C">
              <w:rPr>
                <w:rFonts w:ascii="Oswald" w:hAnsi="Oswald" w:eastAsia="Oswald" w:cs="Oswald"/>
                <w:sz w:val="22"/>
                <w:szCs w:val="22"/>
              </w:rPr>
              <w:t xml:space="preserve">Position Title: </w:t>
            </w:r>
          </w:p>
        </w:tc>
        <w:tc>
          <w:tcPr>
            <w:tcW w:w="5812"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59D3369C" w:rsidP="59D3369C" w:rsidRDefault="59D3369C" w14:paraId="3EA019A6" w14:textId="66AC9455">
            <w:pPr>
              <w:spacing w:before="0" w:beforeAutospacing="off" w:after="0" w:afterAutospacing="off"/>
            </w:pPr>
            <w:r w:rsidRPr="59D3369C" w:rsidR="59D3369C">
              <w:rPr>
                <w:rFonts w:ascii="Oswald" w:hAnsi="Oswald" w:eastAsia="Oswald" w:cs="Oswald"/>
                <w:sz w:val="22"/>
                <w:szCs w:val="22"/>
              </w:rPr>
              <w:t>Head of Results and Resource Centre (maternity cover)</w:t>
            </w:r>
          </w:p>
        </w:tc>
        <w:tc>
          <w:tcPr>
            <w:tcW w:w="2679" w:type="dxa"/>
            <w:vMerge/>
            <w:tcBorders/>
            <w:tcMar/>
            <w:vAlign w:val="center"/>
          </w:tcPr>
          <w:p w14:paraId="1C175561"/>
        </w:tc>
      </w:tr>
      <w:tr w:rsidR="59D3369C" w:rsidTr="21BC26E3" w14:paraId="18F32318">
        <w:trPr>
          <w:trHeight w:val="495"/>
        </w:trPr>
        <w:tc>
          <w:tcPr>
            <w:tcW w:w="18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59D3369C" w:rsidP="59D3369C" w:rsidRDefault="59D3369C" w14:paraId="4A6B7B8D" w14:textId="3D31D36E">
            <w:pPr>
              <w:spacing w:before="0" w:beforeAutospacing="off" w:after="0" w:afterAutospacing="off"/>
            </w:pPr>
            <w:r w:rsidRPr="59D3369C" w:rsidR="59D3369C">
              <w:rPr>
                <w:rFonts w:ascii="Oswald" w:hAnsi="Oswald" w:eastAsia="Oswald" w:cs="Oswald"/>
                <w:sz w:val="22"/>
                <w:szCs w:val="22"/>
              </w:rPr>
              <w:t>Position ID:</w:t>
            </w:r>
          </w:p>
        </w:tc>
        <w:tc>
          <w:tcPr>
            <w:tcW w:w="581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59D3369C" w:rsidP="59D3369C" w:rsidRDefault="59D3369C" w14:paraId="05CE811E" w14:textId="4E1CC59D">
            <w:pPr>
              <w:spacing w:before="0" w:beforeAutospacing="off" w:after="0" w:afterAutospacing="off"/>
            </w:pPr>
            <w:r w:rsidRPr="21BC26E3" w:rsidR="59D3369C">
              <w:rPr>
                <w:rFonts w:ascii="Oswald" w:hAnsi="Oswald" w:eastAsia="Oswald" w:cs="Oswald"/>
                <w:sz w:val="22"/>
                <w:szCs w:val="22"/>
              </w:rPr>
              <w:t xml:space="preserve"> </w:t>
            </w:r>
            <w:r w:rsidRPr="21BC26E3" w:rsidR="27FEB39F">
              <w:rPr>
                <w:rFonts w:ascii="Oswald" w:hAnsi="Oswald" w:eastAsia="Oswald" w:cs="Oswald"/>
                <w:sz w:val="22"/>
                <w:szCs w:val="22"/>
              </w:rPr>
              <w:t xml:space="preserve">175958287  </w:t>
            </w:r>
          </w:p>
        </w:tc>
        <w:tc>
          <w:tcPr>
            <w:tcW w:w="2679" w:type="dxa"/>
            <w:vMerge/>
            <w:tcBorders/>
            <w:tcMar/>
            <w:vAlign w:val="center"/>
          </w:tcPr>
          <w:p w14:paraId="3419BC91"/>
        </w:tc>
      </w:tr>
    </w:tbl>
    <w:p xmlns:wp14="http://schemas.microsoft.com/office/word/2010/wordml" w:rsidR="006D1DF1" w:rsidP="59D3369C" w:rsidRDefault="006D1DF1" w14:paraId="49947323" wp14:textId="35117462">
      <w:pPr>
        <w:spacing w:before="0" w:beforeAutospacing="off" w:after="0" w:afterAutospacing="off"/>
      </w:pPr>
      <w:r w:rsidRPr="59D3369C" w:rsidR="2BDC55A8">
        <w:rPr>
          <w:rFonts w:ascii="Times New Roman" w:hAnsi="Times New Roman" w:eastAsia="Times New Roman" w:cs="Times New Roman"/>
          <w:noProof w:val="0"/>
          <w:sz w:val="24"/>
          <w:szCs w:val="24"/>
          <w:lang w:val="en-GB"/>
        </w:rPr>
        <w:t xml:space="preserve"> </w:t>
      </w:r>
    </w:p>
    <w:tbl>
      <w:tblPr>
        <w:tblStyle w:val="TableNormal"/>
        <w:tblW w:w="0" w:type="auto"/>
        <w:tblLayout w:type="fixed"/>
        <w:tblLook w:val="04A0" w:firstRow="1" w:lastRow="0" w:firstColumn="1" w:lastColumn="0" w:noHBand="0" w:noVBand="1"/>
      </w:tblPr>
      <w:tblGrid>
        <w:gridCol w:w="1809"/>
        <w:gridCol w:w="3261"/>
        <w:gridCol w:w="2268"/>
        <w:gridCol w:w="2958"/>
      </w:tblGrid>
      <w:tr w:rsidR="59D3369C" w:rsidTr="70F74630" w14:paraId="491AA137">
        <w:trPr>
          <w:trHeight w:val="270"/>
        </w:trPr>
        <w:tc>
          <w:tcPr>
            <w:tcW w:w="1809"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center"/>
          </w:tcPr>
          <w:p w:rsidR="59D3369C" w:rsidP="59D3369C" w:rsidRDefault="59D3369C" w14:paraId="19A785C0" w14:textId="2B87C4AE">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Team</w:t>
            </w:r>
          </w:p>
        </w:tc>
        <w:tc>
          <w:tcPr>
            <w:tcW w:w="32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59D3369C" w:rsidP="59D3369C" w:rsidRDefault="59D3369C" w14:paraId="7D8DD99F" w14:textId="2D220BAF">
            <w:pPr>
              <w:spacing w:before="0" w:beforeAutospacing="off" w:after="0" w:afterAutospacing="off"/>
            </w:pPr>
            <w:r w:rsidRPr="59D3369C" w:rsidR="59D3369C">
              <w:rPr>
                <w:rFonts w:ascii="Lato" w:hAnsi="Lato" w:eastAsia="Lato" w:cs="Lato"/>
                <w:sz w:val="22"/>
                <w:szCs w:val="22"/>
              </w:rPr>
              <w:t>Locally-led Delivery &amp; Partnerships team</w:t>
            </w:r>
          </w:p>
        </w:tc>
        <w:tc>
          <w:tcPr>
            <w:tcW w:w="2268"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center"/>
          </w:tcPr>
          <w:p w:rsidR="59D3369C" w:rsidP="59D3369C" w:rsidRDefault="59D3369C" w14:paraId="32275FC2" w14:textId="01E193E2">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Grade</w:t>
            </w:r>
          </w:p>
        </w:tc>
        <w:tc>
          <w:tcPr>
            <w:tcW w:w="295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59D3369C" w:rsidP="70F74630" w:rsidRDefault="59D3369C" w14:paraId="06E8E9B2" w14:textId="7BFCF132">
            <w:pPr>
              <w:pStyle w:val="Normal"/>
              <w:suppressLineNumbers w:val="0"/>
              <w:bidi w:val="0"/>
              <w:spacing w:before="0" w:beforeAutospacing="off" w:after="0" w:afterAutospacing="off" w:line="259" w:lineRule="auto"/>
              <w:ind w:left="0" w:right="0"/>
              <w:jc w:val="left"/>
            </w:pPr>
            <w:r w:rsidRPr="70F74630" w:rsidR="7B4F1967">
              <w:rPr>
                <w:rFonts w:ascii="Lato" w:hAnsi="Lato" w:eastAsia="Lato" w:cs="Lato"/>
                <w:sz w:val="22"/>
                <w:szCs w:val="22"/>
              </w:rPr>
              <w:t>M4</w:t>
            </w:r>
          </w:p>
        </w:tc>
      </w:tr>
      <w:tr w:rsidR="59D3369C" w:rsidTr="70F74630" w14:paraId="259686B3">
        <w:trPr>
          <w:trHeight w:val="300"/>
        </w:trPr>
        <w:tc>
          <w:tcPr>
            <w:tcW w:w="1809"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center"/>
          </w:tcPr>
          <w:p w:rsidR="59D3369C" w:rsidP="59D3369C" w:rsidRDefault="59D3369C" w14:paraId="0DAE4403" w14:textId="3BD6DBB6">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Reports To (Title)</w:t>
            </w:r>
          </w:p>
        </w:tc>
        <w:tc>
          <w:tcPr>
            <w:tcW w:w="32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59D3369C" w:rsidP="59D3369C" w:rsidRDefault="59D3369C" w14:paraId="347E3606" w14:textId="09AC116E">
            <w:pPr>
              <w:spacing w:before="0" w:beforeAutospacing="off" w:after="0" w:afterAutospacing="off"/>
            </w:pPr>
            <w:r w:rsidRPr="59D3369C" w:rsidR="59D3369C">
              <w:rPr>
                <w:rFonts w:ascii="Lato" w:hAnsi="Lato" w:eastAsia="Lato" w:cs="Lato"/>
                <w:sz w:val="22"/>
                <w:szCs w:val="22"/>
              </w:rPr>
              <w:t>Head of Social Transformation Programming Hub</w:t>
            </w:r>
          </w:p>
        </w:tc>
        <w:tc>
          <w:tcPr>
            <w:tcW w:w="2268"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center"/>
          </w:tcPr>
          <w:p w:rsidR="59D3369C" w:rsidP="59D3369C" w:rsidRDefault="59D3369C" w14:paraId="2C86B36E" w14:textId="58DB3810">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Contract Length</w:t>
            </w:r>
          </w:p>
        </w:tc>
        <w:tc>
          <w:tcPr>
            <w:tcW w:w="295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59D3369C" w:rsidP="59D3369C" w:rsidRDefault="59D3369C" w14:paraId="5C4D1C28" w14:textId="73241860">
            <w:pPr>
              <w:spacing w:before="0" w:beforeAutospacing="off" w:after="0" w:afterAutospacing="off"/>
            </w:pPr>
            <w:r w:rsidRPr="59D3369C" w:rsidR="59D3369C">
              <w:rPr>
                <w:rFonts w:ascii="Lato" w:hAnsi="Lato" w:eastAsia="Lato" w:cs="Lato"/>
                <w:sz w:val="22"/>
                <w:szCs w:val="22"/>
              </w:rPr>
              <w:t>Maternity Cover role – 10 months from October 2024</w:t>
            </w:r>
          </w:p>
        </w:tc>
      </w:tr>
      <w:tr w:rsidR="59D3369C" w:rsidTr="70F74630" w14:paraId="3607B0B5">
        <w:trPr>
          <w:trHeight w:val="300"/>
        </w:trPr>
        <w:tc>
          <w:tcPr>
            <w:tcW w:w="1809"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center"/>
          </w:tcPr>
          <w:p w:rsidR="59D3369C" w:rsidP="59D3369C" w:rsidRDefault="59D3369C" w14:paraId="26119120" w14:textId="1B3994D6">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Location</w:t>
            </w:r>
          </w:p>
        </w:tc>
        <w:tc>
          <w:tcPr>
            <w:tcW w:w="32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59D3369C" w:rsidP="59D3369C" w:rsidRDefault="59D3369C" w14:paraId="0AA8C297" w14:textId="52F2DE36">
            <w:pPr>
              <w:spacing w:before="0" w:beforeAutospacing="off" w:after="0" w:afterAutospacing="off"/>
            </w:pPr>
            <w:r w:rsidRPr="59D3369C" w:rsidR="59D3369C">
              <w:rPr>
                <w:rFonts w:ascii="Lato" w:hAnsi="Lato" w:eastAsia="Lato" w:cs="Lato"/>
                <w:sz w:val="22"/>
                <w:szCs w:val="22"/>
              </w:rPr>
              <w:t>Any existing SCI office location</w:t>
            </w:r>
          </w:p>
        </w:tc>
        <w:tc>
          <w:tcPr>
            <w:tcW w:w="2268"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center"/>
          </w:tcPr>
          <w:p w:rsidR="59D3369C" w:rsidP="59D3369C" w:rsidRDefault="59D3369C" w14:paraId="07BF6AF3" w14:textId="4AAB432A">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Time-zone</w:t>
            </w:r>
          </w:p>
        </w:tc>
        <w:tc>
          <w:tcPr>
            <w:tcW w:w="295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59D3369C" w:rsidP="59D3369C" w:rsidRDefault="59D3369C" w14:paraId="27F5779A" w14:textId="2A1032FF">
            <w:pPr>
              <w:spacing w:before="0" w:beforeAutospacing="off" w:after="0" w:afterAutospacing="off"/>
            </w:pPr>
            <w:r w:rsidRPr="59D3369C" w:rsidR="59D3369C">
              <w:rPr>
                <w:rFonts w:ascii="Lato" w:hAnsi="Lato" w:eastAsia="Lato" w:cs="Lato"/>
                <w:sz w:val="22"/>
                <w:szCs w:val="22"/>
              </w:rPr>
              <w:t>Any</w:t>
            </w:r>
          </w:p>
        </w:tc>
      </w:tr>
      <w:tr w:rsidR="59D3369C" w:rsidTr="70F74630" w14:paraId="59147595">
        <w:trPr>
          <w:trHeight w:val="300"/>
        </w:trPr>
        <w:tc>
          <w:tcPr>
            <w:tcW w:w="1809"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center"/>
          </w:tcPr>
          <w:p w:rsidR="59D3369C" w:rsidP="59D3369C" w:rsidRDefault="59D3369C" w14:paraId="5E5864BB" w14:textId="690CDB08">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Languages</w:t>
            </w:r>
          </w:p>
        </w:tc>
        <w:tc>
          <w:tcPr>
            <w:tcW w:w="32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59D3369C" w:rsidP="59D3369C" w:rsidRDefault="59D3369C" w14:paraId="6C6F7982" w14:textId="03962DC2">
            <w:pPr>
              <w:spacing w:before="0" w:beforeAutospacing="off" w:after="0" w:afterAutospacing="off"/>
            </w:pPr>
            <w:r w:rsidRPr="59D3369C" w:rsidR="59D3369C">
              <w:rPr>
                <w:rFonts w:ascii="Lato" w:hAnsi="Lato" w:eastAsia="Lato" w:cs="Lato"/>
                <w:sz w:val="22"/>
                <w:szCs w:val="22"/>
              </w:rPr>
              <w:t>English</w:t>
            </w:r>
          </w:p>
        </w:tc>
        <w:tc>
          <w:tcPr>
            <w:tcW w:w="2268"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center"/>
          </w:tcPr>
          <w:p w:rsidR="59D3369C" w:rsidP="59D3369C" w:rsidRDefault="59D3369C" w14:paraId="3318D78E" w14:textId="70E27A5E">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Headcount</w:t>
            </w:r>
          </w:p>
        </w:tc>
        <w:tc>
          <w:tcPr>
            <w:tcW w:w="295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59D3369C" w:rsidP="59D3369C" w:rsidRDefault="59D3369C" w14:paraId="2E17C290" w14:textId="6F5D430B">
            <w:pPr>
              <w:spacing w:before="0" w:beforeAutospacing="off" w:after="0" w:afterAutospacing="off"/>
            </w:pPr>
            <w:r w:rsidRPr="59D3369C" w:rsidR="59D3369C">
              <w:rPr>
                <w:rFonts w:ascii="Lato" w:hAnsi="Lato" w:eastAsia="Lato" w:cs="Lato"/>
                <w:sz w:val="22"/>
                <w:szCs w:val="22"/>
              </w:rPr>
              <w:t>1</w:t>
            </w:r>
          </w:p>
        </w:tc>
      </w:tr>
    </w:tbl>
    <w:p xmlns:wp14="http://schemas.microsoft.com/office/word/2010/wordml" w:rsidR="006D1DF1" w:rsidP="59D3369C" w:rsidRDefault="006D1DF1" w14:paraId="645978CF" wp14:textId="6C3F23D7">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10296"/>
      </w:tblGrid>
      <w:tr w:rsidR="59D3369C" w:rsidTr="59D3369C" w14:paraId="53B8760D">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13F65CC9" w14:textId="53D95DA1">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Team and Job Purpose</w:t>
            </w:r>
          </w:p>
        </w:tc>
      </w:tr>
      <w:tr w:rsidR="59D3369C" w:rsidTr="59D3369C" w14:paraId="6B95AAA8">
        <w:trPr>
          <w:trHeight w:val="855"/>
        </w:trPr>
        <w:tc>
          <w:tcPr>
            <w:tcW w:w="1029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62A6A676" w14:textId="38C3019D">
            <w:pPr>
              <w:spacing w:before="0" w:beforeAutospacing="off" w:after="0" w:afterAutospacing="off"/>
            </w:pPr>
            <w:r w:rsidRPr="59D3369C" w:rsidR="59D3369C">
              <w:rPr>
                <w:rFonts w:ascii="Lato" w:hAnsi="Lato" w:eastAsia="Lato" w:cs="Lato"/>
                <w:b w:val="1"/>
                <w:bCs w:val="1"/>
                <w:sz w:val="22"/>
                <w:szCs w:val="22"/>
              </w:rPr>
              <w:t>Team purpose</w:t>
            </w:r>
          </w:p>
          <w:p w:rsidR="59D3369C" w:rsidP="59D3369C" w:rsidRDefault="59D3369C" w14:paraId="1B7ADD07" w14:textId="134941D1">
            <w:pPr>
              <w:spacing w:before="0" w:beforeAutospacing="off" w:after="0" w:afterAutospacing="off"/>
            </w:pPr>
            <w:r w:rsidRPr="59D3369C" w:rsidR="59D3369C">
              <w:rPr>
                <w:rFonts w:ascii="Lato" w:hAnsi="Lato" w:eastAsia="Lato" w:cs="Lato"/>
                <w:color w:val="000000" w:themeColor="text1" w:themeTint="FF" w:themeShade="FF"/>
                <w:sz w:val="22"/>
                <w:szCs w:val="22"/>
              </w:rPr>
              <w:t>To lead the development and embedding of locally-led programming principles and practices within country programmes, promoting community ownership and sustainability, whilst ensuring alignment with Save the Children International's values of accountability and integrity. This team empowers communities, fostering their autonomy and participation in initiatives tailored to their unique needs. By doing so, we play a critical role in achieving the organisation's goal of creating lasting change for children through inclusive, community-focused initiatives.</w:t>
            </w:r>
          </w:p>
          <w:p w:rsidR="59D3369C" w:rsidP="59D3369C" w:rsidRDefault="59D3369C" w14:paraId="02270DEF" w14:textId="1ABD6864">
            <w:pPr>
              <w:spacing w:before="0" w:beforeAutospacing="off" w:after="0" w:afterAutospacing="off"/>
            </w:pPr>
            <w:r w:rsidRPr="59D3369C" w:rsidR="59D3369C">
              <w:rPr>
                <w:rFonts w:ascii="Lato" w:hAnsi="Lato" w:eastAsia="Lato" w:cs="Lato"/>
                <w:color w:val="000000" w:themeColor="text1" w:themeTint="FF" w:themeShade="FF"/>
                <w:sz w:val="22"/>
                <w:szCs w:val="22"/>
              </w:rPr>
              <w:t xml:space="preserve"> </w:t>
            </w:r>
          </w:p>
          <w:p w:rsidR="59D3369C" w:rsidP="59D3369C" w:rsidRDefault="59D3369C" w14:paraId="71B23545" w14:textId="39690E72">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Role purpose</w:t>
            </w:r>
          </w:p>
          <w:p w:rsidR="59D3369C" w:rsidP="59D3369C" w:rsidRDefault="59D3369C" w14:paraId="0CC95BC8" w14:textId="4E11E7F5">
            <w:pPr>
              <w:spacing w:before="0" w:beforeAutospacing="off" w:after="0" w:afterAutospacing="off"/>
            </w:pPr>
            <w:r w:rsidRPr="59D3369C" w:rsidR="59D3369C">
              <w:rPr>
                <w:rFonts w:ascii="Lato" w:hAnsi="Lato" w:eastAsia="Lato" w:cs="Lato"/>
                <w:color w:val="000000" w:themeColor="text1" w:themeTint="FF" w:themeShade="FF"/>
                <w:sz w:val="22"/>
                <w:szCs w:val="22"/>
              </w:rPr>
              <w:t xml:space="preserve">The Head of Results &amp; Resource Centre is a critical thought leader who will enable Save the Children to demonstrate what works in addressing inequality and discrimination through our Sponsorship portfolio. They will ensure that the Sponsorship Program, with annual investment of over $50 million, generates evidence of sustainable impact at scale for all stakeholders and provide programmatic learning that informs decision-making. </w:t>
            </w:r>
          </w:p>
          <w:p w:rsidR="59D3369C" w:rsidP="59D3369C" w:rsidRDefault="59D3369C" w14:paraId="15ECB779" w14:textId="6F70FDA6">
            <w:pPr>
              <w:spacing w:before="0" w:beforeAutospacing="off" w:after="0" w:afterAutospacing="off"/>
            </w:pPr>
            <w:r w:rsidRPr="59D3369C" w:rsidR="59D3369C">
              <w:rPr>
                <w:rFonts w:ascii="Lato" w:hAnsi="Lato" w:eastAsia="Lato" w:cs="Lato"/>
                <w:color w:val="000000" w:themeColor="text1" w:themeTint="FF" w:themeShade="FF"/>
                <w:sz w:val="22"/>
                <w:szCs w:val="22"/>
              </w:rPr>
              <w:t xml:space="preserve"> </w:t>
            </w:r>
          </w:p>
          <w:p w:rsidR="59D3369C" w:rsidP="59D3369C" w:rsidRDefault="59D3369C" w14:paraId="149E9412" w14:textId="04170693">
            <w:pPr>
              <w:spacing w:before="0" w:beforeAutospacing="off" w:after="0" w:afterAutospacing="off"/>
            </w:pPr>
            <w:r w:rsidRPr="59D3369C" w:rsidR="59D3369C">
              <w:rPr>
                <w:rFonts w:ascii="Lato" w:hAnsi="Lato" w:eastAsia="Lato" w:cs="Lato"/>
                <w:color w:val="000000" w:themeColor="text1" w:themeTint="FF" w:themeShade="FF"/>
                <w:sz w:val="22"/>
                <w:szCs w:val="22"/>
              </w:rPr>
              <w:t xml:space="preserve">The position is responsible for having robust systems and high performing teams in place to generate high-quality reporting regarding program results for children; and to support on-going development of specialist capacities in global, national and subnational Sponsorship teams to ensure high-quality evidence, innovation and learning. </w:t>
            </w:r>
          </w:p>
          <w:p w:rsidR="59D3369C" w:rsidP="59D3369C" w:rsidRDefault="59D3369C" w14:paraId="33C91C8E" w14:textId="5DBE3693">
            <w:pPr>
              <w:spacing w:before="0" w:beforeAutospacing="off" w:after="0" w:afterAutospacing="off"/>
            </w:pPr>
            <w:r w:rsidRPr="59D3369C" w:rsidR="59D3369C">
              <w:rPr>
                <w:rFonts w:ascii="Lato" w:hAnsi="Lato" w:eastAsia="Lato" w:cs="Lato"/>
                <w:color w:val="000000" w:themeColor="text1" w:themeTint="FF" w:themeShade="FF"/>
                <w:sz w:val="22"/>
                <w:szCs w:val="22"/>
              </w:rPr>
              <w:t xml:space="preserve"> </w:t>
            </w:r>
          </w:p>
          <w:p w:rsidR="59D3369C" w:rsidP="59D3369C" w:rsidRDefault="59D3369C" w14:paraId="3AA242EB" w14:textId="0030B644">
            <w:pPr>
              <w:spacing w:before="0" w:beforeAutospacing="off" w:after="0" w:afterAutospacing="off"/>
            </w:pPr>
            <w:r w:rsidRPr="59D3369C" w:rsidR="59D3369C">
              <w:rPr>
                <w:rFonts w:ascii="Lato" w:hAnsi="Lato" w:eastAsia="Lato" w:cs="Lato"/>
                <w:color w:val="000000" w:themeColor="text1" w:themeTint="FF" w:themeShade="FF"/>
                <w:sz w:val="22"/>
                <w:szCs w:val="22"/>
              </w:rPr>
              <w:t xml:space="preserve">As the team leader for monitoring, evaluation, accountability and learning (MEAL) in Sponsorship they ensure that systems and structures align within Save the Children’s overall vision for accountability – including to children and communities - and that Sponsorship shares learning at the global, national and sub-national levels, internally and externally. The Head of Results &amp; Resource Centre will provide technical leadership and strategic direction overseeing the research &amp; evaluation products produced in 18 Sponsorship offices to increase quality and ensure alignment with strategic global priorities; secure strategic partnerships; and support Sponsorship Offices to pilot a new programming model. </w:t>
            </w:r>
          </w:p>
          <w:p w:rsidR="59D3369C" w:rsidP="59D3369C" w:rsidRDefault="59D3369C" w14:paraId="19EAB22E" w14:textId="72591779">
            <w:pPr>
              <w:spacing w:before="0" w:beforeAutospacing="off" w:after="0" w:afterAutospacing="off"/>
            </w:pPr>
            <w:r w:rsidRPr="59D3369C" w:rsidR="59D3369C">
              <w:rPr>
                <w:rFonts w:ascii="Lato" w:hAnsi="Lato" w:eastAsia="Lato" w:cs="Lato"/>
                <w:color w:val="000000" w:themeColor="text1" w:themeTint="FF" w:themeShade="FF"/>
                <w:sz w:val="22"/>
                <w:szCs w:val="22"/>
              </w:rPr>
              <w:t>This role will provide thought leadership on areas such as measuring and evaluation of inequality, discrimination and programming for social change. This includes co-leading an Equality and Discrimination Measurement Community of Practice.</w:t>
            </w:r>
          </w:p>
          <w:p w:rsidR="59D3369C" w:rsidP="59D3369C" w:rsidRDefault="59D3369C" w14:paraId="4E33409A" w14:textId="0DE235F4">
            <w:pPr>
              <w:spacing w:before="0" w:beforeAutospacing="off" w:after="0" w:afterAutospacing="off"/>
            </w:pPr>
            <w:r w:rsidRPr="59D3369C" w:rsidR="59D3369C">
              <w:rPr>
                <w:rFonts w:ascii="Lato" w:hAnsi="Lato" w:eastAsia="Lato" w:cs="Lato"/>
                <w:color w:val="000000" w:themeColor="text1" w:themeTint="FF" w:themeShade="FF"/>
                <w:sz w:val="22"/>
                <w:szCs w:val="22"/>
              </w:rPr>
              <w:t xml:space="preserve"> </w:t>
            </w:r>
          </w:p>
          <w:p w:rsidR="59D3369C" w:rsidP="59D3369C" w:rsidRDefault="59D3369C" w14:paraId="4FA53089" w14:textId="7D29C389">
            <w:pPr>
              <w:spacing w:before="0" w:beforeAutospacing="off" w:after="0" w:afterAutospacing="off"/>
            </w:pPr>
            <w:r w:rsidRPr="59D3369C" w:rsidR="59D3369C">
              <w:rPr>
                <w:rFonts w:ascii="Lato" w:hAnsi="Lato" w:eastAsia="Lato" w:cs="Lato"/>
                <w:color w:val="000000" w:themeColor="text1" w:themeTint="FF" w:themeShade="FF"/>
                <w:sz w:val="22"/>
                <w:szCs w:val="22"/>
              </w:rPr>
              <w:t xml:space="preserve">Additionally, the Head of Results and Resource Centre will lead initiatives to increase Ideation and ‘Learn From Failure’. The Head of Results and Resource Centre will provide strategic technical support to the Program Quality Impact team to implement a robust evidence and learning agenda, learning from program pilots on social transformation; and to ensure upcoming learning events from pilot countries in Afghanistan, El Salvador, Philippines and Zambia produce actionable insights and results. </w:t>
            </w:r>
          </w:p>
          <w:p w:rsidR="59D3369C" w:rsidP="59D3369C" w:rsidRDefault="59D3369C" w14:paraId="48FC00ED" w14:textId="4D2CC698">
            <w:pPr>
              <w:spacing w:before="0" w:beforeAutospacing="off" w:after="0" w:afterAutospacing="off"/>
            </w:pPr>
            <w:r w:rsidRPr="59D3369C" w:rsidR="59D3369C">
              <w:rPr>
                <w:rFonts w:ascii="Lato" w:hAnsi="Lato" w:eastAsia="Lato" w:cs="Lato"/>
                <w:color w:val="000000" w:themeColor="text1" w:themeTint="FF" w:themeShade="FF"/>
                <w:sz w:val="22"/>
                <w:szCs w:val="22"/>
              </w:rPr>
              <w:t xml:space="preserve"> </w:t>
            </w:r>
          </w:p>
          <w:p w:rsidR="59D3369C" w:rsidP="59D3369C" w:rsidRDefault="59D3369C" w14:paraId="791BE5CD" w14:textId="39AECCA5">
            <w:pPr>
              <w:spacing w:before="0" w:beforeAutospacing="off" w:after="0" w:afterAutospacing="off"/>
            </w:pPr>
            <w:r w:rsidRPr="59D3369C" w:rsidR="59D3369C">
              <w:rPr>
                <w:rFonts w:ascii="Lato" w:hAnsi="Lato" w:eastAsia="Lato" w:cs="Lato"/>
                <w:color w:val="000000" w:themeColor="text1" w:themeTint="FF" w:themeShade="FF"/>
                <w:sz w:val="22"/>
                <w:szCs w:val="22"/>
              </w:rPr>
              <w:t>Ultimate success in this role is demonstrated by drawing on Sponsorship’s innovations, program results and external studies to provide evidence of change for children that drives continuous improvement in our impact.  The postholder should have excellent communication skills, proven ability to explain complex issues clearly to non-experts and excellent attention to detail.</w:t>
            </w:r>
          </w:p>
        </w:tc>
      </w:tr>
    </w:tbl>
    <w:p xmlns:wp14="http://schemas.microsoft.com/office/word/2010/wordml" w:rsidR="006D1DF1" w:rsidP="59D3369C" w:rsidRDefault="006D1DF1" w14:paraId="7F1BF3E8" wp14:textId="470D982E">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10296"/>
      </w:tblGrid>
      <w:tr w:rsidR="59D3369C" w:rsidTr="59D3369C" w14:paraId="4038B32A">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3898F3BF" w14:textId="7E276AFA">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Principal Accountabilities</w:t>
            </w:r>
          </w:p>
        </w:tc>
      </w:tr>
      <w:tr w:rsidR="59D3369C" w:rsidTr="59D3369C" w14:paraId="761AE9E2">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35079A8D" w14:textId="37BF079A">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Generate and drive use of evidence needed to address inequality and discrimination (30%):</w:t>
            </w:r>
          </w:p>
          <w:p w:rsidR="59D3369C" w:rsidP="59D3369C" w:rsidRDefault="59D3369C" w14:paraId="585F2CAB" w14:textId="2CDE9997">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Work collaboratively internally and externally, especially through communities of practice and working groups, to determine effective measurement standards for social transformation and to demonstrate impact.</w:t>
            </w:r>
          </w:p>
          <w:p w:rsidR="59D3369C" w:rsidP="59D3369C" w:rsidRDefault="59D3369C" w14:paraId="2C201495" w14:textId="24BEBD14">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Oversee longitudinal studies and applied research for design, innovation and improvement of results for children through shifts in power and more equitable programming.</w:t>
            </w:r>
          </w:p>
          <w:p w:rsidR="59D3369C" w:rsidP="59D3369C" w:rsidRDefault="59D3369C" w14:paraId="1031CEB3" w14:textId="186BDAF3">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Conduct studies and guide research that generates learning and measures progress towards our future state of ALL children surviving, learning and being protected in alignment with our global goals.</w:t>
            </w:r>
          </w:p>
          <w:p w:rsidR="59D3369C" w:rsidP="59D3369C" w:rsidRDefault="59D3369C" w14:paraId="177B1D09" w14:textId="41C2ACD3">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Manage strategic external partnerships</w:t>
            </w:r>
          </w:p>
          <w:p w:rsidR="59D3369C" w:rsidP="59D3369C" w:rsidRDefault="59D3369C" w14:paraId="052AF747" w14:textId="292C95D7">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Leverage flexible people resources across Save the Children’s Evidence and Learning community to address skills and capacity gaps to generate evidence in strategic areas.</w:t>
            </w:r>
          </w:p>
          <w:p w:rsidR="59D3369C" w:rsidP="59D3369C" w:rsidRDefault="59D3369C" w14:paraId="6FDF576F" w14:textId="2D94469F">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Communicate and represent Sponsorship internally and externally as a thought leader in social change to end inequality and discrimination.</w:t>
            </w:r>
          </w:p>
          <w:p w:rsidR="59D3369C" w:rsidP="59D3369C" w:rsidRDefault="59D3369C" w14:paraId="3525E921" w14:textId="0443E460">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Lead initiatives to strengthen processes, practices, culture, and systems to drive organisational learning on Sponsorship program innovations, research &amp; evaluations (20%):</w:t>
            </w:r>
          </w:p>
          <w:p w:rsidR="59D3369C" w:rsidP="59D3369C" w:rsidRDefault="59D3369C" w14:paraId="26684FA4" w14:textId="103504BF">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Provide strategic direction and resource management to deliver on a learning agenda within Sponsorship program initiatives, to demonstrate the holistic impact of sponsorship-funded programming on children and ensure Save the Children’s priority evidence gaps are filled.</w:t>
            </w:r>
          </w:p>
          <w:p w:rsidR="59D3369C" w:rsidP="59D3369C" w:rsidRDefault="59D3369C" w14:paraId="1C01D5EE" w14:textId="5476B782">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Synthesize data, compile, and when appropriate, generate reports that summarize program results for children versus objectives and ensure contribution to the global evidence.</w:t>
            </w:r>
          </w:p>
          <w:p w:rsidR="59D3369C" w:rsidP="59D3369C" w:rsidRDefault="59D3369C" w14:paraId="3696749D" w14:textId="39A01B3F">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Ensure that all MEAL reports are accessible and key data and results are made visible and shared on Save the Children’s global knowledge management platforms, and with the Global Sponsorship team, including marketing, funding members and communications staff.</w:t>
            </w:r>
          </w:p>
          <w:p w:rsidR="59D3369C" w:rsidP="59D3369C" w:rsidRDefault="59D3369C" w14:paraId="01A337E8" w14:textId="1665F03F">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Program Quality and Program Technical Excellence (30%):</w:t>
            </w:r>
          </w:p>
          <w:p w:rsidR="59D3369C" w:rsidP="59D3369C" w:rsidRDefault="59D3369C" w14:paraId="315B7B92" w14:textId="589EC14F">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Drive improvements in research &amp; innovation portfolio (planning, management and reporting) at global and country office levels.</w:t>
            </w:r>
          </w:p>
          <w:p w:rsidR="59D3369C" w:rsidP="59D3369C" w:rsidRDefault="59D3369C" w14:paraId="56966089" w14:textId="7CED16ED">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Facilitate greater internal and external use of evidence &amp; innovations produced across Save the Children and our partners.</w:t>
            </w:r>
          </w:p>
          <w:p w:rsidR="59D3369C" w:rsidP="59D3369C" w:rsidRDefault="59D3369C" w14:paraId="078E37EA" w14:textId="09949E87">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Facilitate forums with technical staff to explore and innovate in the Sponsorship program design and implementation space based on program learning.</w:t>
            </w:r>
          </w:p>
          <w:p w:rsidR="59D3369C" w:rsidP="59D3369C" w:rsidRDefault="59D3369C" w14:paraId="203D6C31" w14:textId="3FFCC318">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Develop and deliver change management activities to establish a stronger Culture of Learning from Failure within Sponsorship: learning through play, documenting failure and improving uptake of new strategies to address what didn’t work.</w:t>
            </w:r>
          </w:p>
          <w:p w:rsidR="59D3369C" w:rsidP="59D3369C" w:rsidRDefault="59D3369C" w14:paraId="0DD37E69" w14:textId="1C656C16">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Strengthens core performance across and within Innovation, MEAL and programme teams through guidance, training, insight and hands-on support to program for social change.</w:t>
            </w:r>
          </w:p>
          <w:p w:rsidR="59D3369C" w:rsidP="59D3369C" w:rsidRDefault="59D3369C" w14:paraId="1C4C02EB" w14:textId="2E5700B1">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Collaborate with the Director Sponsorship Programs to communicate key results achieved to senior leadership, including Sponsorship funding members, and to sponsors themselves</w:t>
            </w:r>
          </w:p>
          <w:p w:rsidR="59D3369C" w:rsidP="59D3369C" w:rsidRDefault="59D3369C" w14:paraId="64EB20B6" w14:textId="7FDB07DE">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Improve and/or develop tools and technical guidelines for monitoring and evaluating the progress, quality and performance of the Sponsorship Program, drawing on technical support from PQI’s Evidence and Learning Unit and the emerging Research and Evaluation Unit, as needed.</w:t>
            </w:r>
          </w:p>
          <w:p w:rsidR="59D3369C" w:rsidP="59D3369C" w:rsidRDefault="59D3369C" w14:paraId="0136A2F9" w14:textId="61FFE9A5">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Ensure Sponsorship Programs are integrated with Country Office systems for accountability to children and communities, ensuring that we receive and act on feedback from those we support.</w:t>
            </w:r>
          </w:p>
          <w:p w:rsidR="59D3369C" w:rsidP="59D3369C" w:rsidRDefault="59D3369C" w14:paraId="2671D99B" w14:textId="6B1C0057">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Serve as the team leader and supervisor for high performing, supported and connected global sponsorship Evidence &amp; Learning team (20%):</w:t>
            </w:r>
          </w:p>
          <w:p w:rsidR="59D3369C" w:rsidP="59D3369C" w:rsidRDefault="59D3369C" w14:paraId="45A5EAFC" w14:textId="252D1F94">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Create and manage a high-performing team including building shared objectives, quality control, evaluation, motivation, performance management, shared learning objectives, staff development and training to execute the Global MEAL plan, pilot new program models, drive a learning agenda based on research and evaluations.</w:t>
            </w:r>
          </w:p>
          <w:p w:rsidR="59D3369C" w:rsidP="59D3369C" w:rsidRDefault="59D3369C" w14:paraId="3E880D6A" w14:textId="2001C7E3">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Supports the organisational commitment to wellbeing by ensuring a mutually supportive and open team culture where individuals can thrive and develop their potential.</w:t>
            </w:r>
          </w:p>
          <w:p w:rsidR="59D3369C" w:rsidP="59D3369C" w:rsidRDefault="59D3369C" w14:paraId="6B3C1CA1" w14:textId="001BDD83">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Implement and communicate the MEAL strategy, including regular meetings with global Sponsorship MEAL staff, mentoring, technical assistance, and sharing of methods and tools.</w:t>
            </w:r>
          </w:p>
          <w:p w:rsidR="59D3369C" w:rsidP="59D3369C" w:rsidRDefault="59D3369C" w14:paraId="71FD213A" w14:textId="7A60C5A4">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Plan and deliver strategically together with the global Program Quality and Impact Evidence and Learning team</w:t>
            </w:r>
          </w:p>
          <w:p w:rsidR="59D3369C" w:rsidP="59D3369C" w:rsidRDefault="59D3369C" w14:paraId="64AF9226" w14:textId="61571D00">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Hold Sponsorship Offices and Sponsorship Technical Staff accountable for quality data generation, analysis and reporting.</w:t>
            </w:r>
          </w:p>
        </w:tc>
      </w:tr>
    </w:tbl>
    <w:p xmlns:wp14="http://schemas.microsoft.com/office/word/2010/wordml" w:rsidR="006D1DF1" w:rsidP="59D3369C" w:rsidRDefault="006D1DF1" w14:paraId="4F18E44F" wp14:textId="0FD46BBC">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10296"/>
      </w:tblGrid>
      <w:tr w:rsidR="59D3369C" w:rsidTr="59D3369C" w14:paraId="5DE92E3D">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67D17CF9" w14:textId="04CE3D86">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Budget</w:t>
            </w:r>
          </w:p>
        </w:tc>
      </w:tr>
      <w:tr w:rsidR="59D3369C" w:rsidTr="59D3369C" w14:paraId="668FEB69">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1E8E79F0" w14:textId="08971472">
            <w:pPr>
              <w:spacing w:before="0" w:beforeAutospacing="off" w:after="0" w:afterAutospacing="off"/>
            </w:pPr>
            <w:r w:rsidRPr="59D3369C" w:rsidR="59D3369C">
              <w:rPr>
                <w:rFonts w:ascii="Lato" w:hAnsi="Lato" w:eastAsia="Lato" w:cs="Lato"/>
                <w:sz w:val="22"/>
                <w:szCs w:val="22"/>
              </w:rPr>
              <w:t>Core budget of approximately $250K per annum</w:t>
            </w:r>
          </w:p>
        </w:tc>
      </w:tr>
    </w:tbl>
    <w:p xmlns:wp14="http://schemas.microsoft.com/office/word/2010/wordml" w:rsidR="006D1DF1" w:rsidP="59D3369C" w:rsidRDefault="006D1DF1" w14:paraId="1A04ACF7" wp14:textId="4B80F89D">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10296"/>
      </w:tblGrid>
      <w:tr w:rsidR="59D3369C" w:rsidTr="59D3369C" w14:paraId="07822817">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28F6A00D" w14:textId="4AE4A295">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People Management Responsibility</w:t>
            </w:r>
            <w:r w:rsidRPr="59D3369C" w:rsidR="59D3369C">
              <w:rPr>
                <w:rFonts w:ascii="Lato" w:hAnsi="Lato" w:eastAsia="Lato" w:cs="Lato"/>
                <w:color w:val="000000" w:themeColor="text1" w:themeTint="FF" w:themeShade="FF"/>
                <w:sz w:val="22"/>
                <w:szCs w:val="22"/>
              </w:rPr>
              <w:t xml:space="preserve"> (direct/indirect reports)</w:t>
            </w:r>
          </w:p>
        </w:tc>
      </w:tr>
      <w:tr w:rsidR="59D3369C" w:rsidTr="59D3369C" w14:paraId="411A0E1A">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7E5ED73D" w14:textId="7C967881">
            <w:pPr>
              <w:spacing w:before="0" w:beforeAutospacing="off" w:after="0" w:afterAutospacing="off"/>
            </w:pPr>
            <w:r w:rsidRPr="59D3369C" w:rsidR="59D3369C">
              <w:rPr>
                <w:rFonts w:ascii="Lato" w:hAnsi="Lato" w:eastAsia="Lato" w:cs="Lato"/>
                <w:sz w:val="22"/>
                <w:szCs w:val="22"/>
              </w:rPr>
              <w:t>Number of people managed in total: 2</w:t>
            </w:r>
          </w:p>
          <w:p w:rsidR="59D3369C" w:rsidP="59D3369C" w:rsidRDefault="59D3369C" w14:paraId="26AA0CE6" w14:textId="47B52815">
            <w:pPr>
              <w:spacing w:before="0" w:beforeAutospacing="off" w:after="0" w:afterAutospacing="off"/>
            </w:pPr>
            <w:r w:rsidRPr="59D3369C" w:rsidR="59D3369C">
              <w:rPr>
                <w:rFonts w:ascii="Lato" w:hAnsi="Lato" w:eastAsia="Lato" w:cs="Lato"/>
                <w:sz w:val="22"/>
                <w:szCs w:val="22"/>
              </w:rPr>
              <w:t>Manager of a team: Yes</w:t>
            </w:r>
          </w:p>
          <w:p w:rsidR="59D3369C" w:rsidP="59D3369C" w:rsidRDefault="59D3369C" w14:paraId="7BBE9B8D" w14:textId="59799611">
            <w:pPr>
              <w:spacing w:before="0" w:beforeAutospacing="off" w:after="0" w:afterAutospacing="off"/>
            </w:pPr>
            <w:r w:rsidRPr="59D3369C" w:rsidR="59D3369C">
              <w:rPr>
                <w:rFonts w:ascii="Lato" w:hAnsi="Lato" w:eastAsia="Lato" w:cs="Lato"/>
                <w:sz w:val="22"/>
                <w:szCs w:val="22"/>
              </w:rPr>
              <w:t>Team Manager (manager of multiple teams): No</w:t>
            </w:r>
          </w:p>
        </w:tc>
      </w:tr>
    </w:tbl>
    <w:p xmlns:wp14="http://schemas.microsoft.com/office/word/2010/wordml" w:rsidR="006D1DF1" w:rsidP="59D3369C" w:rsidRDefault="006D1DF1" w14:paraId="64C935BB" wp14:textId="0541E932">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10296"/>
      </w:tblGrid>
      <w:tr w:rsidR="59D3369C" w:rsidTr="59D3369C" w14:paraId="41708F08">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20D8DF6F" w14:textId="7C2A95DF">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Size of Remit</w:t>
            </w:r>
          </w:p>
        </w:tc>
      </w:tr>
      <w:tr w:rsidR="59D3369C" w:rsidTr="59D3369C" w14:paraId="5307962E">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3991539E" w14:textId="06016464">
            <w:pPr>
              <w:spacing w:before="0" w:beforeAutospacing="off" w:after="0" w:afterAutospacing="off"/>
            </w:pPr>
            <w:r w:rsidRPr="59D3369C" w:rsidR="59D3369C">
              <w:rPr>
                <w:rFonts w:ascii="Lato" w:hAnsi="Lato" w:eastAsia="Lato" w:cs="Lato"/>
                <w:sz w:val="22"/>
                <w:szCs w:val="22"/>
              </w:rPr>
              <w:t>Global</w:t>
            </w:r>
          </w:p>
        </w:tc>
      </w:tr>
    </w:tbl>
    <w:p xmlns:wp14="http://schemas.microsoft.com/office/word/2010/wordml" w:rsidR="006D1DF1" w:rsidP="59D3369C" w:rsidRDefault="006D1DF1" w14:paraId="16A23960" wp14:textId="0A822B7A">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10296"/>
      </w:tblGrid>
      <w:tr w:rsidR="59D3369C" w:rsidTr="59D3369C" w14:paraId="09032394">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260770E4" w14:textId="47ACDA7D">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Travel Requirements</w:t>
            </w:r>
          </w:p>
        </w:tc>
      </w:tr>
      <w:tr w:rsidR="59D3369C" w:rsidTr="59D3369C" w14:paraId="3B6BBF72">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1D706F21" w14:textId="460649D0">
            <w:pPr>
              <w:spacing w:before="0" w:beforeAutospacing="off" w:after="0" w:afterAutospacing="off"/>
            </w:pPr>
            <w:r w:rsidRPr="59D3369C" w:rsidR="59D3369C">
              <w:rPr>
                <w:rFonts w:ascii="Lato" w:hAnsi="Lato" w:eastAsia="Lato" w:cs="Lato"/>
                <w:sz w:val="22"/>
                <w:szCs w:val="22"/>
              </w:rPr>
              <w:t>International travel required: Yes</w:t>
            </w:r>
          </w:p>
          <w:p w:rsidR="59D3369C" w:rsidP="59D3369C" w:rsidRDefault="59D3369C" w14:paraId="1C923620" w14:textId="69E83456">
            <w:pPr>
              <w:spacing w:before="0" w:beforeAutospacing="off" w:after="0" w:afterAutospacing="off"/>
            </w:pPr>
            <w:r w:rsidRPr="59D3369C" w:rsidR="59D3369C">
              <w:rPr>
                <w:rFonts w:ascii="Lato" w:hAnsi="Lato" w:eastAsia="Lato" w:cs="Lato"/>
                <w:sz w:val="22"/>
                <w:szCs w:val="22"/>
              </w:rPr>
              <w:t xml:space="preserve"> </w:t>
            </w:r>
          </w:p>
          <w:p w:rsidR="59D3369C" w:rsidP="59D3369C" w:rsidRDefault="59D3369C" w14:paraId="23EFD7A0" w14:textId="5854679D">
            <w:pPr>
              <w:spacing w:before="0" w:beforeAutospacing="off" w:after="0" w:afterAutospacing="off"/>
            </w:pPr>
            <w:r w:rsidRPr="59D3369C" w:rsidR="59D3369C">
              <w:rPr>
                <w:rFonts w:ascii="Lato" w:hAnsi="Lato" w:eastAsia="Lato" w:cs="Lato"/>
                <w:sz w:val="22"/>
                <w:szCs w:val="22"/>
              </w:rPr>
              <w:t>Percentage of required for travel: Up to 25%</w:t>
            </w:r>
          </w:p>
          <w:p w:rsidR="59D3369C" w:rsidP="59D3369C" w:rsidRDefault="59D3369C" w14:paraId="216B7811" w14:textId="0C6F8003">
            <w:pPr>
              <w:spacing w:before="0" w:beforeAutospacing="off" w:after="0" w:afterAutospacing="off"/>
            </w:pPr>
            <w:r w:rsidRPr="59D3369C" w:rsidR="59D3369C">
              <w:rPr>
                <w:rFonts w:ascii="Lato" w:hAnsi="Lato" w:eastAsia="Lato" w:cs="Lato"/>
                <w:sz w:val="22"/>
                <w:szCs w:val="22"/>
              </w:rPr>
              <w:t xml:space="preserve"> </w:t>
            </w:r>
          </w:p>
        </w:tc>
      </w:tr>
    </w:tbl>
    <w:p xmlns:wp14="http://schemas.microsoft.com/office/word/2010/wordml" w:rsidR="006D1DF1" w:rsidP="59D3369C" w:rsidRDefault="006D1DF1" w14:paraId="2B08E0A0" wp14:textId="16BD5676">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10296"/>
      </w:tblGrid>
      <w:tr w:rsidR="59D3369C" w:rsidTr="59D3369C" w14:paraId="4416C7D7">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59C09C61" w14:textId="7616F5C4">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Key Relationships</w:t>
            </w:r>
          </w:p>
        </w:tc>
      </w:tr>
      <w:tr w:rsidR="59D3369C" w:rsidTr="59D3369C" w14:paraId="31A1AAC6">
        <w:trPr>
          <w:trHeight w:val="855"/>
        </w:trPr>
        <w:tc>
          <w:tcPr>
            <w:tcW w:w="1029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2ED71B06" w14:textId="79B3966C">
            <w:pPr>
              <w:spacing w:before="0" w:beforeAutospacing="off" w:after="0" w:afterAutospacing="off"/>
            </w:pPr>
            <w:r w:rsidRPr="59D3369C" w:rsidR="59D3369C">
              <w:rPr>
                <w:rFonts w:ascii="Lato" w:hAnsi="Lato" w:eastAsia="Lato" w:cs="Lato"/>
                <w:b w:val="1"/>
                <w:bCs w:val="1"/>
                <w:sz w:val="22"/>
                <w:szCs w:val="22"/>
              </w:rPr>
              <w:t xml:space="preserve">Internal </w:t>
            </w:r>
            <w:r w:rsidRPr="59D3369C" w:rsidR="59D3369C">
              <w:rPr>
                <w:rFonts w:ascii="Lato" w:hAnsi="Lato" w:eastAsia="Lato" w:cs="Lato"/>
                <w:sz w:val="22"/>
                <w:szCs w:val="22"/>
              </w:rPr>
              <w:t>(excluding direct team and manager)</w:t>
            </w:r>
          </w:p>
          <w:p w:rsidR="59D3369C" w:rsidP="59D3369C" w:rsidRDefault="59D3369C" w14:paraId="37FBF5BB" w14:textId="0997C479">
            <w:pPr>
              <w:spacing w:before="0" w:beforeAutospacing="off" w:after="0" w:afterAutospacing="off"/>
            </w:pPr>
            <w:r w:rsidRPr="59D3369C" w:rsidR="59D3369C">
              <w:rPr>
                <w:rFonts w:ascii="Lato" w:hAnsi="Lato" w:eastAsia="Lato" w:cs="Lato"/>
                <w:b w:val="1"/>
                <w:bCs w:val="1"/>
                <w:sz w:val="22"/>
                <w:szCs w:val="22"/>
              </w:rPr>
              <w:t xml:space="preserve"> </w:t>
            </w:r>
          </w:p>
          <w:p w:rsidR="59D3369C" w:rsidP="59D3369C" w:rsidRDefault="59D3369C" w14:paraId="57BB4773" w14:textId="16F7CCE6">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The postholder will need to work with colleagues on Sponsorship Programs, Regional Sponsorship Advisors, Operations, Sponsorship Offices, SCI Evidence &amp; Learning team and TWGS and the Global LIFT Lab. This also includes thematic teams, ethics, safeguarding, data protection, The role will involve working closely with country-level colleagues.</w:t>
            </w:r>
          </w:p>
          <w:p w:rsidR="59D3369C" w:rsidP="59D3369C" w:rsidRDefault="59D3369C" w14:paraId="0D9FA60E" w14:textId="68BAA227">
            <w:pPr>
              <w:spacing w:before="0" w:beforeAutospacing="off" w:after="0" w:afterAutospacing="off"/>
            </w:pPr>
            <w:r w:rsidRPr="59D3369C" w:rsidR="59D3369C">
              <w:rPr>
                <w:rFonts w:ascii="Lato" w:hAnsi="Lato" w:eastAsia="Lato" w:cs="Lato"/>
                <w:sz w:val="22"/>
                <w:szCs w:val="22"/>
              </w:rPr>
              <w:t xml:space="preserve"> </w:t>
            </w:r>
          </w:p>
          <w:p w:rsidR="59D3369C" w:rsidP="59D3369C" w:rsidRDefault="59D3369C" w14:paraId="54CE5E08" w14:textId="05F6E86A">
            <w:pPr>
              <w:spacing w:before="0" w:beforeAutospacing="off" w:after="0" w:afterAutospacing="off"/>
            </w:pPr>
            <w:r w:rsidRPr="59D3369C" w:rsidR="59D3369C">
              <w:rPr>
                <w:rFonts w:ascii="Lato" w:hAnsi="Lato" w:eastAsia="Lato" w:cs="Lato"/>
                <w:b w:val="1"/>
                <w:bCs w:val="1"/>
                <w:sz w:val="22"/>
                <w:szCs w:val="22"/>
              </w:rPr>
              <w:t>External</w:t>
            </w:r>
          </w:p>
          <w:p w:rsidR="59D3369C" w:rsidP="59D3369C" w:rsidRDefault="59D3369C" w14:paraId="173FBCB8" w14:textId="1D78ACE1">
            <w:pPr>
              <w:spacing w:before="0" w:beforeAutospacing="off" w:after="0" w:afterAutospacing="off"/>
            </w:pPr>
            <w:r w:rsidRPr="59D3369C" w:rsidR="59D3369C">
              <w:rPr>
                <w:rFonts w:ascii="Lato" w:hAnsi="Lato" w:eastAsia="Lato" w:cs="Lato"/>
                <w:b w:val="1"/>
                <w:bCs w:val="1"/>
                <w:sz w:val="22"/>
                <w:szCs w:val="22"/>
              </w:rPr>
              <w:t xml:space="preserve"> </w:t>
            </w:r>
          </w:p>
          <w:p w:rsidR="59D3369C" w:rsidP="59D3369C" w:rsidRDefault="59D3369C" w14:paraId="238BA4BC" w14:textId="31607566">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The postholder will engage externally, including managing strategic partnerships, and communicating  externally at events.</w:t>
            </w:r>
          </w:p>
        </w:tc>
      </w:tr>
    </w:tbl>
    <w:p xmlns:wp14="http://schemas.microsoft.com/office/word/2010/wordml" w:rsidR="006D1DF1" w:rsidP="59D3369C" w:rsidRDefault="006D1DF1" w14:paraId="55F9D660" wp14:textId="21B2D96E">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10296"/>
      </w:tblGrid>
      <w:tr w:rsidR="59D3369C" w:rsidTr="1E74FD73" w14:paraId="5548C14A">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65A7D047" w14:textId="106B030E">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Competencies</w:t>
            </w:r>
          </w:p>
        </w:tc>
      </w:tr>
      <w:tr w:rsidR="59D3369C" w:rsidTr="1E74FD73" w14:paraId="5476AC41">
        <w:trPr>
          <w:trHeight w:val="855"/>
        </w:trPr>
        <w:tc>
          <w:tcPr>
            <w:tcW w:w="1029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0E68FEFF" w14:textId="54CC080E">
            <w:pPr>
              <w:spacing w:before="0" w:beforeAutospacing="off" w:after="0" w:afterAutospacing="off"/>
            </w:pPr>
            <w:r w:rsidRPr="72898535" w:rsidR="59D3369C">
              <w:rPr>
                <w:rFonts w:ascii="Lato" w:hAnsi="Lato" w:eastAsia="Lato" w:cs="Lato"/>
                <w:sz w:val="22"/>
                <w:szCs w:val="22"/>
              </w:rPr>
              <w:t xml:space="preserve">Cluster: Leading </w:t>
            </w:r>
          </w:p>
          <w:p w:rsidR="59D3369C" w:rsidP="59D3369C" w:rsidRDefault="59D3369C" w14:paraId="53B9718F" w14:textId="262667FA">
            <w:pPr>
              <w:spacing w:before="0" w:beforeAutospacing="off" w:after="0" w:afterAutospacing="off"/>
            </w:pPr>
            <w:r w:rsidRPr="72898535" w:rsidR="59D3369C">
              <w:rPr>
                <w:rFonts w:ascii="Lato" w:hAnsi="Lato" w:eastAsia="Lato" w:cs="Lato"/>
                <w:sz w:val="22"/>
                <w:szCs w:val="22"/>
              </w:rPr>
              <w:t>C</w:t>
            </w:r>
            <w:r w:rsidRPr="72898535" w:rsidR="59D3369C">
              <w:rPr>
                <w:rFonts w:ascii="Lato" w:hAnsi="Lato" w:eastAsia="Lato" w:cs="Lato"/>
                <w:sz w:val="22"/>
                <w:szCs w:val="22"/>
              </w:rPr>
              <w:t xml:space="preserve">ompetency: Leading and inspiring others </w:t>
            </w:r>
          </w:p>
          <w:p w:rsidR="59D3369C" w:rsidP="59D3369C" w:rsidRDefault="59D3369C" w14:paraId="51F41857" w14:textId="5488784B">
            <w:pPr>
              <w:spacing w:before="0" w:beforeAutospacing="off" w:after="0" w:afterAutospacing="off"/>
            </w:pPr>
            <w:r w:rsidRPr="72898535" w:rsidR="59D3369C">
              <w:rPr>
                <w:rFonts w:ascii="Lato" w:hAnsi="Lato" w:eastAsia="Lato" w:cs="Lato"/>
                <w:sz w:val="22"/>
                <w:szCs w:val="22"/>
              </w:rPr>
              <w:t xml:space="preserve">Level: Leading Edge </w:t>
            </w:r>
          </w:p>
          <w:p w:rsidR="59D3369C" w:rsidP="59D3369C" w:rsidRDefault="59D3369C" w14:paraId="0C927130" w14:textId="20F521D6">
            <w:pPr>
              <w:spacing w:before="0" w:beforeAutospacing="off" w:after="0" w:afterAutospacing="off"/>
            </w:pPr>
            <w:r w:rsidRPr="72898535" w:rsidR="59D3369C">
              <w:rPr>
                <w:rFonts w:ascii="Lato" w:hAnsi="Lato" w:eastAsia="Lato" w:cs="Lato"/>
                <w:sz w:val="22"/>
                <w:szCs w:val="22"/>
              </w:rPr>
              <w:t>Behavioural Indicator: Creates and engages others in a shared vision and strategy that will deliver more for children.</w:t>
            </w:r>
          </w:p>
          <w:p w:rsidR="59D3369C" w:rsidP="59D3369C" w:rsidRDefault="59D3369C" w14:paraId="2C422B7A" w14:textId="039721B3">
            <w:pPr>
              <w:spacing w:before="0" w:beforeAutospacing="off" w:after="0" w:afterAutospacing="off"/>
            </w:pPr>
            <w:r w:rsidRPr="59D3369C" w:rsidR="59D3369C">
              <w:rPr>
                <w:rFonts w:ascii="Lato" w:hAnsi="Lato" w:eastAsia="Lato" w:cs="Lato"/>
                <w:sz w:val="22"/>
                <w:szCs w:val="22"/>
              </w:rPr>
              <w:t xml:space="preserve"> </w:t>
            </w:r>
          </w:p>
          <w:p w:rsidR="59D3369C" w:rsidP="59D3369C" w:rsidRDefault="59D3369C" w14:paraId="4FD406EA" w14:textId="27D059EA">
            <w:pPr>
              <w:spacing w:before="0" w:beforeAutospacing="off" w:after="0" w:afterAutospacing="off"/>
            </w:pPr>
            <w:r w:rsidRPr="72898535" w:rsidR="59D3369C">
              <w:rPr>
                <w:rFonts w:ascii="Lato" w:hAnsi="Lato" w:eastAsia="Lato" w:cs="Lato"/>
                <w:sz w:val="22"/>
                <w:szCs w:val="22"/>
              </w:rPr>
              <w:t xml:space="preserve">Cluster: Leading </w:t>
            </w:r>
          </w:p>
          <w:p w:rsidR="59D3369C" w:rsidP="59D3369C" w:rsidRDefault="59D3369C" w14:paraId="4F9303AC" w14:textId="17778E2A">
            <w:pPr>
              <w:spacing w:before="0" w:beforeAutospacing="off" w:after="0" w:afterAutospacing="off"/>
            </w:pPr>
            <w:r w:rsidRPr="72898535" w:rsidR="59D3369C">
              <w:rPr>
                <w:rFonts w:ascii="Lato" w:hAnsi="Lato" w:eastAsia="Lato" w:cs="Lato"/>
                <w:sz w:val="22"/>
                <w:szCs w:val="22"/>
              </w:rPr>
              <w:t xml:space="preserve">Competency: Delivering results </w:t>
            </w:r>
          </w:p>
          <w:p w:rsidR="59D3369C" w:rsidP="59D3369C" w:rsidRDefault="59D3369C" w14:paraId="5BCD9D81" w14:textId="4DEA9F44">
            <w:pPr>
              <w:spacing w:before="0" w:beforeAutospacing="off" w:after="0" w:afterAutospacing="off"/>
            </w:pPr>
            <w:r w:rsidRPr="72898535" w:rsidR="59D3369C">
              <w:rPr>
                <w:rFonts w:ascii="Lato" w:hAnsi="Lato" w:eastAsia="Lato" w:cs="Lato"/>
                <w:sz w:val="22"/>
                <w:szCs w:val="22"/>
              </w:rPr>
              <w:t>Level: Leading Edge Behavioural Indicator: Builds a culture of quality and focuses on on-going performance improvement.</w:t>
            </w:r>
          </w:p>
          <w:p w:rsidR="59D3369C" w:rsidP="59D3369C" w:rsidRDefault="59D3369C" w14:paraId="47811B7D" w14:textId="52A85B48">
            <w:pPr>
              <w:spacing w:before="0" w:beforeAutospacing="off" w:after="0" w:afterAutospacing="off"/>
            </w:pPr>
            <w:r w:rsidRPr="59D3369C" w:rsidR="59D3369C">
              <w:rPr>
                <w:rFonts w:ascii="Lato" w:hAnsi="Lato" w:eastAsia="Lato" w:cs="Lato"/>
                <w:sz w:val="22"/>
                <w:szCs w:val="22"/>
              </w:rPr>
              <w:t xml:space="preserve"> </w:t>
            </w:r>
          </w:p>
          <w:p w:rsidR="59D3369C" w:rsidP="59D3369C" w:rsidRDefault="59D3369C" w14:paraId="5609A0E8" w14:textId="7D80548D">
            <w:pPr>
              <w:spacing w:before="0" w:beforeAutospacing="off" w:after="0" w:afterAutospacing="off"/>
            </w:pPr>
            <w:r w:rsidRPr="59D3369C" w:rsidR="59D3369C">
              <w:rPr>
                <w:rFonts w:ascii="Lato" w:hAnsi="Lato" w:eastAsia="Lato" w:cs="Lato"/>
                <w:sz w:val="22"/>
                <w:szCs w:val="22"/>
              </w:rPr>
              <w:t>Cluster: Thinking Competency: Innovating and adapting Level: Leading Edge Behavioural Indicator: Drives innovation and breakthrough solutions to improve outcomes for children.</w:t>
            </w:r>
          </w:p>
          <w:p w:rsidR="59D3369C" w:rsidP="59D3369C" w:rsidRDefault="59D3369C" w14:paraId="78FAB2CB" w14:textId="3094A0AA">
            <w:pPr>
              <w:spacing w:before="0" w:beforeAutospacing="off" w:after="0" w:afterAutospacing="off"/>
            </w:pPr>
            <w:r w:rsidRPr="59D3369C" w:rsidR="59D3369C">
              <w:rPr>
                <w:rFonts w:ascii="Lato" w:hAnsi="Lato" w:eastAsia="Lato" w:cs="Lato"/>
                <w:sz w:val="22"/>
                <w:szCs w:val="22"/>
              </w:rPr>
              <w:t xml:space="preserve"> </w:t>
            </w:r>
          </w:p>
          <w:p w:rsidR="59D3369C" w:rsidP="59D3369C" w:rsidRDefault="59D3369C" w14:paraId="16F5BB4C" w14:textId="181461C6">
            <w:pPr>
              <w:spacing w:before="0" w:beforeAutospacing="off" w:after="0" w:afterAutospacing="off"/>
            </w:pPr>
            <w:r w:rsidRPr="1E74FD73" w:rsidR="59D3369C">
              <w:rPr>
                <w:rFonts w:ascii="Lato" w:hAnsi="Lato" w:eastAsia="Lato" w:cs="Lato"/>
                <w:sz w:val="22"/>
                <w:szCs w:val="22"/>
              </w:rPr>
              <w:t xml:space="preserve">Cluster: Thinking </w:t>
            </w:r>
          </w:p>
          <w:p w:rsidR="59D3369C" w:rsidP="59D3369C" w:rsidRDefault="59D3369C" w14:paraId="17D01E57" w14:textId="6AA4CE01">
            <w:pPr>
              <w:spacing w:before="0" w:beforeAutospacing="off" w:after="0" w:afterAutospacing="off"/>
            </w:pPr>
            <w:r w:rsidRPr="1E74FD73" w:rsidR="59D3369C">
              <w:rPr>
                <w:rFonts w:ascii="Lato" w:hAnsi="Lato" w:eastAsia="Lato" w:cs="Lato"/>
                <w:sz w:val="22"/>
                <w:szCs w:val="22"/>
              </w:rPr>
              <w:t xml:space="preserve">Competency: Problem solving and </w:t>
            </w:r>
            <w:r w:rsidRPr="1E74FD73" w:rsidR="59D3369C">
              <w:rPr>
                <w:rFonts w:ascii="Lato" w:hAnsi="Lato" w:eastAsia="Lato" w:cs="Lato"/>
                <w:sz w:val="22"/>
                <w:szCs w:val="22"/>
              </w:rPr>
              <w:t>decision making</w:t>
            </w:r>
            <w:r w:rsidRPr="1E74FD73" w:rsidR="59D3369C">
              <w:rPr>
                <w:rFonts w:ascii="Lato" w:hAnsi="Lato" w:eastAsia="Lato" w:cs="Lato"/>
                <w:sz w:val="22"/>
                <w:szCs w:val="22"/>
              </w:rPr>
              <w:t xml:space="preserve"> </w:t>
            </w:r>
          </w:p>
          <w:p w:rsidR="59D3369C" w:rsidP="59D3369C" w:rsidRDefault="59D3369C" w14:paraId="6609A67A" w14:textId="0FEBAC1B">
            <w:pPr>
              <w:spacing w:before="0" w:beforeAutospacing="off" w:after="0" w:afterAutospacing="off"/>
            </w:pPr>
            <w:r w:rsidRPr="1E74FD73" w:rsidR="59D3369C">
              <w:rPr>
                <w:rFonts w:ascii="Lato" w:hAnsi="Lato" w:eastAsia="Lato" w:cs="Lato"/>
                <w:sz w:val="22"/>
                <w:szCs w:val="22"/>
              </w:rPr>
              <w:t xml:space="preserve">Level: </w:t>
            </w:r>
            <w:r w:rsidRPr="1E74FD73" w:rsidR="59D3369C">
              <w:rPr>
                <w:rFonts w:ascii="Lato" w:hAnsi="Lato" w:eastAsia="Lato" w:cs="Lato"/>
                <w:sz w:val="22"/>
                <w:szCs w:val="22"/>
              </w:rPr>
              <w:t>Accomplished</w:t>
            </w:r>
            <w:r w:rsidRPr="1E74FD73" w:rsidR="59D3369C">
              <w:rPr>
                <w:rFonts w:ascii="Lato" w:hAnsi="Lato" w:eastAsia="Lato" w:cs="Lato"/>
                <w:sz w:val="22"/>
                <w:szCs w:val="22"/>
              </w:rPr>
              <w:t xml:space="preserve"> </w:t>
            </w:r>
          </w:p>
          <w:p w:rsidR="59D3369C" w:rsidP="59D3369C" w:rsidRDefault="59D3369C" w14:paraId="1B468C35" w14:textId="64BBC1EA">
            <w:pPr>
              <w:spacing w:before="0" w:beforeAutospacing="off" w:after="0" w:afterAutospacing="off"/>
            </w:pPr>
            <w:r w:rsidRPr="1E74FD73" w:rsidR="59D3369C">
              <w:rPr>
                <w:rFonts w:ascii="Lato" w:hAnsi="Lato" w:eastAsia="Lato" w:cs="Lato"/>
                <w:sz w:val="22"/>
                <w:szCs w:val="22"/>
              </w:rPr>
              <w:t>Behavioural Indicator: Makes informed strategic decisions based on full evaluation of the opportunities and risks of each idea and solution.</w:t>
            </w:r>
          </w:p>
          <w:p w:rsidR="59D3369C" w:rsidP="59D3369C" w:rsidRDefault="59D3369C" w14:paraId="562EB85D" w14:textId="19AF1EEE">
            <w:pPr>
              <w:spacing w:before="0" w:beforeAutospacing="off" w:after="0" w:afterAutospacing="off"/>
            </w:pPr>
            <w:r w:rsidRPr="59D3369C" w:rsidR="59D3369C">
              <w:rPr>
                <w:rFonts w:ascii="Lato" w:hAnsi="Lato" w:eastAsia="Lato" w:cs="Lato"/>
                <w:sz w:val="22"/>
                <w:szCs w:val="22"/>
              </w:rPr>
              <w:t xml:space="preserve"> </w:t>
            </w:r>
          </w:p>
          <w:p w:rsidR="59D3369C" w:rsidP="59D3369C" w:rsidRDefault="59D3369C" w14:paraId="209F9F48" w14:textId="0C488F1B">
            <w:pPr>
              <w:spacing w:before="0" w:beforeAutospacing="off" w:after="0" w:afterAutospacing="off"/>
            </w:pPr>
            <w:r w:rsidRPr="1E74FD73" w:rsidR="59D3369C">
              <w:rPr>
                <w:rFonts w:ascii="Lato" w:hAnsi="Lato" w:eastAsia="Lato" w:cs="Lato"/>
                <w:sz w:val="22"/>
                <w:szCs w:val="22"/>
              </w:rPr>
              <w:t xml:space="preserve">Cluster: Engaging </w:t>
            </w:r>
          </w:p>
          <w:p w:rsidR="59D3369C" w:rsidP="59D3369C" w:rsidRDefault="59D3369C" w14:paraId="51C09811" w14:textId="17F9ADF0">
            <w:pPr>
              <w:spacing w:before="0" w:beforeAutospacing="off" w:after="0" w:afterAutospacing="off"/>
            </w:pPr>
            <w:r w:rsidRPr="1E74FD73" w:rsidR="59D3369C">
              <w:rPr>
                <w:rFonts w:ascii="Lato" w:hAnsi="Lato" w:eastAsia="Lato" w:cs="Lato"/>
                <w:sz w:val="22"/>
                <w:szCs w:val="22"/>
              </w:rPr>
              <w:t xml:space="preserve">Competency: Networking </w:t>
            </w:r>
          </w:p>
          <w:p w:rsidR="59D3369C" w:rsidP="59D3369C" w:rsidRDefault="59D3369C" w14:paraId="1D8AE0ED" w14:textId="0CA5C44F">
            <w:pPr>
              <w:spacing w:before="0" w:beforeAutospacing="off" w:after="0" w:afterAutospacing="off"/>
            </w:pPr>
            <w:r w:rsidRPr="1E74FD73" w:rsidR="59D3369C">
              <w:rPr>
                <w:rFonts w:ascii="Lato" w:hAnsi="Lato" w:eastAsia="Lato" w:cs="Lato"/>
                <w:sz w:val="22"/>
                <w:szCs w:val="22"/>
              </w:rPr>
              <w:t xml:space="preserve">Level: Leading Edge </w:t>
            </w:r>
          </w:p>
          <w:p w:rsidR="59D3369C" w:rsidP="59D3369C" w:rsidRDefault="59D3369C" w14:paraId="30F00147" w14:textId="365D0262">
            <w:pPr>
              <w:spacing w:before="0" w:beforeAutospacing="off" w:after="0" w:afterAutospacing="off"/>
            </w:pPr>
            <w:r w:rsidRPr="1E74FD73" w:rsidR="59D3369C">
              <w:rPr>
                <w:rFonts w:ascii="Lato" w:hAnsi="Lato" w:eastAsia="Lato" w:cs="Lato"/>
                <w:sz w:val="22"/>
                <w:szCs w:val="22"/>
              </w:rPr>
              <w:t xml:space="preserve">Behavioural Indicator: </w:t>
            </w:r>
            <w:r w:rsidRPr="1E74FD73" w:rsidR="59D3369C">
              <w:rPr>
                <w:rFonts w:ascii="Lato" w:hAnsi="Lato" w:eastAsia="Lato" w:cs="Lato"/>
                <w:sz w:val="22"/>
                <w:szCs w:val="22"/>
              </w:rPr>
              <w:t>Demonstrates</w:t>
            </w:r>
            <w:r w:rsidRPr="1E74FD73" w:rsidR="59D3369C">
              <w:rPr>
                <w:rFonts w:ascii="Lato" w:hAnsi="Lato" w:eastAsia="Lato" w:cs="Lato"/>
                <w:sz w:val="22"/>
                <w:szCs w:val="22"/>
              </w:rPr>
              <w:t xml:space="preserve"> transparency and openness when engaging with others.</w:t>
            </w:r>
          </w:p>
          <w:p w:rsidR="59D3369C" w:rsidP="59D3369C" w:rsidRDefault="59D3369C" w14:paraId="67261B5F" w14:textId="531CD51C">
            <w:pPr>
              <w:spacing w:before="0" w:beforeAutospacing="off" w:after="0" w:afterAutospacing="off"/>
            </w:pPr>
            <w:r w:rsidRPr="59D3369C" w:rsidR="59D3369C">
              <w:rPr>
                <w:rFonts w:ascii="Lato" w:hAnsi="Lato" w:eastAsia="Lato" w:cs="Lato"/>
                <w:sz w:val="22"/>
                <w:szCs w:val="22"/>
              </w:rPr>
              <w:t xml:space="preserve"> </w:t>
            </w:r>
          </w:p>
          <w:p w:rsidR="59D3369C" w:rsidP="59D3369C" w:rsidRDefault="59D3369C" w14:paraId="095F3FBC" w14:textId="173B3884">
            <w:pPr>
              <w:spacing w:before="0" w:beforeAutospacing="off" w:after="0" w:afterAutospacing="off"/>
            </w:pPr>
            <w:r w:rsidRPr="1E74FD73" w:rsidR="59D3369C">
              <w:rPr>
                <w:rFonts w:ascii="Lato" w:hAnsi="Lato" w:eastAsia="Lato" w:cs="Lato"/>
                <w:sz w:val="22"/>
                <w:szCs w:val="22"/>
              </w:rPr>
              <w:t>Cluster: Engaging</w:t>
            </w:r>
          </w:p>
          <w:p w:rsidR="59D3369C" w:rsidP="59D3369C" w:rsidRDefault="59D3369C" w14:paraId="4737B393" w14:textId="4ABD6519">
            <w:pPr>
              <w:spacing w:before="0" w:beforeAutospacing="off" w:after="0" w:afterAutospacing="off"/>
            </w:pPr>
            <w:r w:rsidRPr="1E74FD73" w:rsidR="59D3369C">
              <w:rPr>
                <w:rFonts w:ascii="Lato" w:hAnsi="Lato" w:eastAsia="Lato" w:cs="Lato"/>
                <w:sz w:val="22"/>
                <w:szCs w:val="22"/>
              </w:rPr>
              <w:t>Competency: Communicating with impact</w:t>
            </w:r>
          </w:p>
          <w:p w:rsidR="59D3369C" w:rsidP="59D3369C" w:rsidRDefault="59D3369C" w14:paraId="11D01D88" w14:textId="71B2D73B">
            <w:pPr>
              <w:spacing w:before="0" w:beforeAutospacing="off" w:after="0" w:afterAutospacing="off"/>
            </w:pPr>
            <w:r w:rsidRPr="1E74FD73" w:rsidR="59D3369C">
              <w:rPr>
                <w:rFonts w:ascii="Lato" w:hAnsi="Lato" w:eastAsia="Lato" w:cs="Lato"/>
                <w:sz w:val="22"/>
                <w:szCs w:val="22"/>
              </w:rPr>
              <w:t xml:space="preserve">Level: Leading Edge </w:t>
            </w:r>
          </w:p>
          <w:p w:rsidR="59D3369C" w:rsidP="59D3369C" w:rsidRDefault="59D3369C" w14:paraId="48FE7145" w14:textId="42799FB8">
            <w:pPr>
              <w:spacing w:before="0" w:beforeAutospacing="off" w:after="0" w:afterAutospacing="off"/>
            </w:pPr>
            <w:r w:rsidRPr="1E74FD73" w:rsidR="59D3369C">
              <w:rPr>
                <w:rFonts w:ascii="Lato" w:hAnsi="Lato" w:eastAsia="Lato" w:cs="Lato"/>
                <w:sz w:val="22"/>
                <w:szCs w:val="22"/>
              </w:rPr>
              <w:t xml:space="preserve">Behavioural Indicator: Delivers influential advice and briefings to internal and external audiences to build the call for action. </w:t>
            </w:r>
          </w:p>
        </w:tc>
      </w:tr>
    </w:tbl>
    <w:p xmlns:wp14="http://schemas.microsoft.com/office/word/2010/wordml" w:rsidR="006D1DF1" w:rsidP="59D3369C" w:rsidRDefault="006D1DF1" w14:paraId="6BC73D4F" wp14:textId="04B538DE">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10296"/>
      </w:tblGrid>
      <w:tr w:rsidR="59D3369C" w:rsidTr="1E74FD73" w14:paraId="545676EA">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4A7CF0FF" w14:textId="4517B77A">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Experience and Skills</w:t>
            </w:r>
          </w:p>
        </w:tc>
      </w:tr>
      <w:tr w:rsidR="59D3369C" w:rsidTr="1E74FD73" w14:paraId="0848F8C8">
        <w:trPr>
          <w:trHeight w:val="855"/>
        </w:trPr>
        <w:tc>
          <w:tcPr>
            <w:tcW w:w="1029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2840451E" w14:textId="5E886C09">
            <w:pPr>
              <w:spacing w:before="0" w:beforeAutospacing="off" w:after="0" w:afterAutospacing="off"/>
            </w:pPr>
            <w:r w:rsidRPr="59D3369C" w:rsidR="59D3369C">
              <w:rPr>
                <w:rFonts w:ascii="Lato" w:hAnsi="Lato" w:eastAsia="Lato" w:cs="Lato"/>
                <w:b w:val="1"/>
                <w:bCs w:val="1"/>
                <w:sz w:val="22"/>
                <w:szCs w:val="22"/>
              </w:rPr>
              <w:t>Essential</w:t>
            </w:r>
          </w:p>
          <w:p w:rsidR="59D3369C" w:rsidP="59D3369C" w:rsidRDefault="59D3369C" w14:paraId="60490650" w14:textId="4F74BF2A">
            <w:pPr>
              <w:spacing w:before="0" w:beforeAutospacing="off" w:after="0" w:afterAutospacing="off"/>
            </w:pPr>
            <w:r w:rsidRPr="59D3369C" w:rsidR="59D3369C">
              <w:rPr>
                <w:rFonts w:ascii="Lato" w:hAnsi="Lato" w:eastAsia="Lato" w:cs="Lato"/>
                <w:sz w:val="22"/>
                <w:szCs w:val="22"/>
              </w:rPr>
              <w:t xml:space="preserve"> </w:t>
            </w:r>
          </w:p>
          <w:p w:rsidR="59D3369C" w:rsidP="59D3369C" w:rsidRDefault="59D3369C" w14:paraId="15F242DF" w14:textId="0200F533">
            <w:pPr>
              <w:pStyle w:val="ListParagraph"/>
              <w:numPr>
                <w:ilvl w:val="0"/>
                <w:numId w:val="24"/>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Significant demonstrated experience in monitoring and evaluation, and field research experience with health, education, child protection, poverty or other child rights programming in an international development context.</w:t>
            </w:r>
          </w:p>
          <w:p w:rsidR="59D3369C" w:rsidP="59D3369C" w:rsidRDefault="59D3369C" w14:paraId="0DDEE9E4" w14:textId="47DEBB5D">
            <w:pPr>
              <w:pStyle w:val="ListParagraph"/>
              <w:numPr>
                <w:ilvl w:val="0"/>
                <w:numId w:val="24"/>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Strong leadership skills, including demonstrated experience in motivating staff that do or do not report directly to the postholder. Experience creating and managing high-performing teams including building shared objectives, quality control, evaluation, motivation, performance management, staff development and training.</w:t>
            </w:r>
          </w:p>
          <w:p w:rsidR="59D3369C" w:rsidP="59D3369C" w:rsidRDefault="59D3369C" w14:paraId="539097F6" w14:textId="537D01A6">
            <w:pPr>
              <w:pStyle w:val="ListParagraph"/>
              <w:numPr>
                <w:ilvl w:val="0"/>
                <w:numId w:val="24"/>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Able to champion an enabling environment for gender equality and inclusion, and prioritising the rights of children facing inequality and discrimination.</w:t>
            </w:r>
          </w:p>
          <w:p w:rsidR="59D3369C" w:rsidP="59D3369C" w:rsidRDefault="59D3369C" w14:paraId="51EE457E" w14:textId="00C6F1EE">
            <w:pPr>
              <w:pStyle w:val="ListParagraph"/>
              <w:numPr>
                <w:ilvl w:val="0"/>
                <w:numId w:val="24"/>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Highly developed interpersonal and communication skills including influencing, reporting, negotiation and coaching – ability to engage effectively with internal and external stakeholders, including children and communitities, staff delivering services in country offices, and senior leadership.</w:t>
            </w:r>
          </w:p>
          <w:p w:rsidR="59D3369C" w:rsidP="59D3369C" w:rsidRDefault="59D3369C" w14:paraId="2F639296" w14:textId="2D2E5ADE">
            <w:pPr>
              <w:pStyle w:val="ListParagraph"/>
              <w:numPr>
                <w:ilvl w:val="0"/>
                <w:numId w:val="24"/>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Knowledge of policy, research and evidence-based methodologies with regards to child-focused programming in international development contexts.</w:t>
            </w:r>
          </w:p>
          <w:p w:rsidR="59D3369C" w:rsidP="59D3369C" w:rsidRDefault="59D3369C" w14:paraId="7A4C22A0" w14:textId="55439120">
            <w:pPr>
              <w:pStyle w:val="ListParagraph"/>
              <w:numPr>
                <w:ilvl w:val="0"/>
                <w:numId w:val="24"/>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Demonstrated familiarity with qualitative and quantitative research skills, including study design, survey instrument design and use, establishing and measuring health and education indicators, sampling, data analysis plans, data cleaning, and statistical analysis.</w:t>
            </w:r>
          </w:p>
          <w:p w:rsidR="59D3369C" w:rsidP="59D3369C" w:rsidRDefault="59D3369C" w14:paraId="01991C18" w14:textId="14A14531">
            <w:pPr>
              <w:pStyle w:val="ListParagraph"/>
              <w:numPr>
                <w:ilvl w:val="0"/>
                <w:numId w:val="24"/>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Proven ability to understand methodological and sampling for evaluation and research studies and keep consultants accountable to research designs.</w:t>
            </w:r>
          </w:p>
          <w:p w:rsidR="59D3369C" w:rsidP="59D3369C" w:rsidRDefault="59D3369C" w14:paraId="7A95B01A" w14:textId="58BEA409">
            <w:pPr>
              <w:pStyle w:val="ListParagraph"/>
              <w:numPr>
                <w:ilvl w:val="0"/>
                <w:numId w:val="24"/>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Demonstrated ability to facilitate appropriate and effective learning forums and products (presentations, short reports, visuals, infographics, articles, etc.) for technical and non-technical staff and audiences globally.</w:t>
            </w:r>
          </w:p>
          <w:p w:rsidR="59D3369C" w:rsidP="59D3369C" w:rsidRDefault="59D3369C" w14:paraId="1F31689C" w14:textId="253994E9">
            <w:pPr>
              <w:pStyle w:val="ListParagraph"/>
              <w:numPr>
                <w:ilvl w:val="0"/>
                <w:numId w:val="24"/>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Proven experience in developing and managing large-scale, complex projects and processes across a range of stakeholders and dispersed geographic locations.</w:t>
            </w:r>
          </w:p>
          <w:p w:rsidR="59D3369C" w:rsidP="59D3369C" w:rsidRDefault="59D3369C" w14:paraId="7F25B7E8" w14:textId="76AC43BD">
            <w:pPr>
              <w:pStyle w:val="ListParagraph"/>
              <w:numPr>
                <w:ilvl w:val="0"/>
                <w:numId w:val="24"/>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Demonstrated commitment to fostering and maintaining an environment of diversity, inclusion, and belonging.</w:t>
            </w:r>
          </w:p>
          <w:p w:rsidR="59D3369C" w:rsidP="59D3369C" w:rsidRDefault="59D3369C" w14:paraId="49458A91" w14:textId="2FAB4DB8">
            <w:pPr>
              <w:spacing w:before="0" w:beforeAutospacing="off" w:after="0" w:afterAutospacing="off"/>
            </w:pPr>
            <w:r w:rsidRPr="59D3369C" w:rsidR="59D3369C">
              <w:rPr>
                <w:rFonts w:ascii="Lato" w:hAnsi="Lato" w:eastAsia="Lato" w:cs="Lato"/>
                <w:sz w:val="22"/>
                <w:szCs w:val="22"/>
              </w:rPr>
              <w:t xml:space="preserve"> </w:t>
            </w:r>
          </w:p>
          <w:p w:rsidR="59D3369C" w:rsidP="59D3369C" w:rsidRDefault="59D3369C" w14:paraId="7EEBBEDA" w14:textId="59A71DBF">
            <w:pPr>
              <w:spacing w:before="0" w:beforeAutospacing="off" w:after="0" w:afterAutospacing="off"/>
            </w:pPr>
            <w:r w:rsidRPr="59D3369C" w:rsidR="59D3369C">
              <w:rPr>
                <w:rFonts w:ascii="Lato" w:hAnsi="Lato" w:eastAsia="Lato" w:cs="Lato"/>
                <w:sz w:val="22"/>
                <w:szCs w:val="22"/>
              </w:rPr>
              <w:t xml:space="preserve"> </w:t>
            </w:r>
          </w:p>
          <w:p w:rsidR="59D3369C" w:rsidP="59D3369C" w:rsidRDefault="59D3369C" w14:paraId="7584E8F9" w14:textId="409A7C08">
            <w:pPr>
              <w:spacing w:before="0" w:beforeAutospacing="off" w:after="0" w:afterAutospacing="off"/>
            </w:pPr>
            <w:r w:rsidRPr="59D3369C" w:rsidR="59D3369C">
              <w:rPr>
                <w:rFonts w:ascii="Lato" w:hAnsi="Lato" w:eastAsia="Lato" w:cs="Lato"/>
                <w:b w:val="1"/>
                <w:bCs w:val="1"/>
                <w:sz w:val="22"/>
                <w:szCs w:val="22"/>
              </w:rPr>
              <w:t>Desirable</w:t>
            </w:r>
          </w:p>
          <w:p w:rsidR="59D3369C" w:rsidP="59D3369C" w:rsidRDefault="59D3369C" w14:paraId="0CBE7F51" w14:textId="22F8DF09">
            <w:pPr>
              <w:spacing w:before="0" w:beforeAutospacing="off" w:after="0" w:afterAutospacing="off"/>
            </w:pPr>
            <w:r w:rsidRPr="59D3369C" w:rsidR="59D3369C">
              <w:rPr>
                <w:rFonts w:ascii="Lato" w:hAnsi="Lato" w:eastAsia="Lato" w:cs="Lato"/>
                <w:sz w:val="22"/>
                <w:szCs w:val="22"/>
              </w:rPr>
              <w:t xml:space="preserve"> </w:t>
            </w:r>
          </w:p>
          <w:p w:rsidR="59D3369C" w:rsidP="1E74FD73" w:rsidRDefault="59D3369C" w14:paraId="06EE4D23" w14:textId="16927FD1">
            <w:pPr>
              <w:pStyle w:val="ListParagraph"/>
              <w:numPr>
                <w:ilvl w:val="0"/>
                <w:numId w:val="25"/>
              </w:numPr>
              <w:spacing w:before="0" w:beforeAutospacing="off" w:after="0" w:afterAutospacing="off"/>
              <w:rPr>
                <w:rFonts w:ascii="Lato" w:hAnsi="Lato" w:eastAsia="Lato" w:cs="Lato"/>
                <w:sz w:val="22"/>
                <w:szCs w:val="22"/>
              </w:rPr>
            </w:pPr>
            <w:r w:rsidRPr="1E74FD73" w:rsidR="59D3369C">
              <w:rPr>
                <w:rFonts w:ascii="Lato" w:hAnsi="Lato" w:eastAsia="Lato" w:cs="Lato"/>
                <w:sz w:val="22"/>
                <w:szCs w:val="22"/>
              </w:rPr>
              <w:t>Proficiency</w:t>
            </w:r>
            <w:r w:rsidRPr="1E74FD73" w:rsidR="59D3369C">
              <w:rPr>
                <w:rFonts w:ascii="Lato" w:hAnsi="Lato" w:eastAsia="Lato" w:cs="Lato"/>
                <w:sz w:val="22"/>
                <w:szCs w:val="22"/>
              </w:rPr>
              <w:t xml:space="preserve"> in a language other than English that is relevant in one or more of the Sponsorship country offices highly desired (e.g. French, </w:t>
            </w:r>
            <w:r w:rsidRPr="1E74FD73" w:rsidR="59D3369C">
              <w:rPr>
                <w:rFonts w:ascii="Lato" w:hAnsi="Lato" w:eastAsia="Lato" w:cs="Lato"/>
                <w:sz w:val="22"/>
                <w:szCs w:val="22"/>
              </w:rPr>
              <w:t>Spanish</w:t>
            </w:r>
            <w:r w:rsidRPr="1E74FD73" w:rsidR="59D3369C">
              <w:rPr>
                <w:rFonts w:ascii="Lato" w:hAnsi="Lato" w:eastAsia="Lato" w:cs="Lato"/>
                <w:sz w:val="22"/>
                <w:szCs w:val="22"/>
              </w:rPr>
              <w:t xml:space="preserve"> or Arabic).</w:t>
            </w:r>
          </w:p>
          <w:p w:rsidR="59D3369C" w:rsidP="1E74FD73" w:rsidRDefault="59D3369C" w14:paraId="1B206D08" w14:textId="06D81C14">
            <w:pPr>
              <w:pStyle w:val="ListParagraph"/>
              <w:numPr>
                <w:ilvl w:val="0"/>
                <w:numId w:val="25"/>
              </w:numPr>
              <w:spacing w:before="0" w:beforeAutospacing="off" w:after="0" w:afterAutospacing="off"/>
              <w:rPr>
                <w:rFonts w:ascii="Lato" w:hAnsi="Lato" w:eastAsia="Lato" w:cs="Lato"/>
                <w:sz w:val="22"/>
                <w:szCs w:val="22"/>
              </w:rPr>
            </w:pPr>
            <w:r w:rsidRPr="1E74FD73" w:rsidR="59D3369C">
              <w:rPr>
                <w:rFonts w:ascii="Lato" w:hAnsi="Lato" w:eastAsia="Lato" w:cs="Lato"/>
                <w:sz w:val="22"/>
                <w:szCs w:val="22"/>
              </w:rPr>
              <w:t xml:space="preserve">Competence in </w:t>
            </w:r>
            <w:r w:rsidRPr="1E74FD73" w:rsidR="59D3369C">
              <w:rPr>
                <w:rFonts w:ascii="Lato" w:hAnsi="Lato" w:eastAsia="Lato" w:cs="Lato"/>
                <w:sz w:val="22"/>
                <w:szCs w:val="22"/>
              </w:rPr>
              <w:t>utilizing</w:t>
            </w:r>
            <w:r w:rsidRPr="1E74FD73" w:rsidR="59D3369C">
              <w:rPr>
                <w:rFonts w:ascii="Lato" w:hAnsi="Lato" w:eastAsia="Lato" w:cs="Lato"/>
                <w:sz w:val="22"/>
                <w:szCs w:val="22"/>
              </w:rPr>
              <w:t xml:space="preserve"> a quantitative and qualitative data analysis package.</w:t>
            </w:r>
          </w:p>
          <w:p w:rsidR="59D3369C" w:rsidP="1E74FD73" w:rsidRDefault="59D3369C" w14:paraId="45096EAC" w14:textId="19C3D4F0">
            <w:pPr>
              <w:pStyle w:val="ListParagraph"/>
              <w:numPr>
                <w:ilvl w:val="0"/>
                <w:numId w:val="25"/>
              </w:numPr>
              <w:spacing w:before="0" w:beforeAutospacing="off" w:after="0" w:afterAutospacing="off"/>
              <w:rPr>
                <w:rFonts w:ascii="Lato" w:hAnsi="Lato" w:eastAsia="Lato" w:cs="Lato"/>
                <w:sz w:val="22"/>
                <w:szCs w:val="22"/>
              </w:rPr>
            </w:pPr>
            <w:r w:rsidRPr="1E74FD73" w:rsidR="59D3369C">
              <w:rPr>
                <w:rFonts w:ascii="Lato" w:hAnsi="Lato" w:eastAsia="Lato" w:cs="Lato"/>
                <w:sz w:val="22"/>
                <w:szCs w:val="22"/>
              </w:rPr>
              <w:t xml:space="preserve">Demonstrated experience working with external research partners in countries where Sponsorship programs </w:t>
            </w:r>
            <w:r w:rsidRPr="1E74FD73" w:rsidR="59D3369C">
              <w:rPr>
                <w:rFonts w:ascii="Lato" w:hAnsi="Lato" w:eastAsia="Lato" w:cs="Lato"/>
                <w:sz w:val="22"/>
                <w:szCs w:val="22"/>
              </w:rPr>
              <w:t>operate</w:t>
            </w:r>
            <w:r w:rsidRPr="1E74FD73" w:rsidR="59D3369C">
              <w:rPr>
                <w:rFonts w:ascii="Lato" w:hAnsi="Lato" w:eastAsia="Lato" w:cs="Lato"/>
                <w:sz w:val="22"/>
                <w:szCs w:val="22"/>
              </w:rPr>
              <w:t>.</w:t>
            </w:r>
          </w:p>
          <w:p w:rsidR="59D3369C" w:rsidP="59D3369C" w:rsidRDefault="59D3369C" w14:paraId="4AFFB77D" w14:textId="6116BA0A">
            <w:pPr>
              <w:spacing w:before="0" w:beforeAutospacing="off" w:after="0" w:afterAutospacing="off"/>
            </w:pPr>
            <w:r w:rsidRPr="59D3369C" w:rsidR="59D3369C">
              <w:rPr>
                <w:rFonts w:ascii="Lato" w:hAnsi="Lato" w:eastAsia="Lato" w:cs="Lato"/>
                <w:sz w:val="22"/>
                <w:szCs w:val="22"/>
              </w:rPr>
              <w:t xml:space="preserve"> </w:t>
            </w:r>
          </w:p>
        </w:tc>
      </w:tr>
    </w:tbl>
    <w:p xmlns:wp14="http://schemas.microsoft.com/office/word/2010/wordml" w:rsidR="006D1DF1" w:rsidP="59D3369C" w:rsidRDefault="006D1DF1" w14:paraId="47FB7D8A" wp14:textId="6C212AD1">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10296"/>
      </w:tblGrid>
      <w:tr w:rsidR="59D3369C" w:rsidTr="59D3369C" w14:paraId="0CA1CE44">
        <w:trPr>
          <w:trHeight w:val="300"/>
        </w:trPr>
        <w:tc>
          <w:tcPr>
            <w:tcW w:w="10296"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3A5FE636" w14:textId="1CFCABB5">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Education and Qualifications</w:t>
            </w:r>
          </w:p>
        </w:tc>
      </w:tr>
      <w:tr w:rsidR="59D3369C" w:rsidTr="59D3369C" w14:paraId="63240F07">
        <w:trPr>
          <w:trHeight w:val="855"/>
        </w:trPr>
        <w:tc>
          <w:tcPr>
            <w:tcW w:w="1029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1E3C71BA" w14:textId="6A399FEB">
            <w:pPr>
              <w:spacing w:before="0" w:beforeAutospacing="off" w:after="0" w:afterAutospacing="off"/>
            </w:pPr>
            <w:r w:rsidRPr="59D3369C" w:rsidR="59D3369C">
              <w:rPr>
                <w:rFonts w:ascii="Lato" w:hAnsi="Lato" w:eastAsia="Lato" w:cs="Lato"/>
                <w:b w:val="1"/>
                <w:bCs w:val="1"/>
                <w:sz w:val="22"/>
                <w:szCs w:val="22"/>
              </w:rPr>
              <w:t>Essential</w:t>
            </w:r>
          </w:p>
          <w:p w:rsidR="59D3369C" w:rsidP="59D3369C" w:rsidRDefault="59D3369C" w14:paraId="079B22A8" w14:textId="0B135938">
            <w:pPr>
              <w:spacing w:before="0" w:beforeAutospacing="off" w:after="0" w:afterAutospacing="off"/>
            </w:pPr>
            <w:r w:rsidRPr="59D3369C" w:rsidR="59D3369C">
              <w:rPr>
                <w:rFonts w:ascii="Lato" w:hAnsi="Lato" w:eastAsia="Lato" w:cs="Lato"/>
                <w:b w:val="1"/>
                <w:bCs w:val="1"/>
                <w:sz w:val="22"/>
                <w:szCs w:val="22"/>
              </w:rPr>
              <w:t xml:space="preserve"> </w:t>
            </w:r>
          </w:p>
          <w:p w:rsidR="59D3369C" w:rsidP="59D3369C" w:rsidRDefault="59D3369C" w14:paraId="3301304F" w14:textId="74975F29">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 xml:space="preserve">Bachelors (or equivalent experience) required; </w:t>
            </w:r>
          </w:p>
          <w:p w:rsidR="59D3369C" w:rsidP="59D3369C" w:rsidRDefault="59D3369C" w14:paraId="257696A0" w14:textId="63136249">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 xml:space="preserve">Master’s degree preferred in relevant field with strong applied research experience; significant experience in monitoring and evaluating child rights programming in the international development context.  </w:t>
            </w:r>
          </w:p>
          <w:p w:rsidR="59D3369C" w:rsidP="59D3369C" w:rsidRDefault="59D3369C" w14:paraId="3CD730B2" w14:textId="7E55C52C">
            <w:pPr>
              <w:pStyle w:val="ListParagraph"/>
              <w:numPr>
                <w:ilvl w:val="0"/>
                <w:numId w:val="23"/>
              </w:numPr>
              <w:spacing w:before="0" w:beforeAutospacing="off" w:after="0" w:afterAutospacing="off"/>
              <w:rPr>
                <w:rFonts w:ascii="Lato" w:hAnsi="Lato" w:eastAsia="Lato" w:cs="Lato"/>
                <w:sz w:val="22"/>
                <w:szCs w:val="22"/>
              </w:rPr>
            </w:pPr>
            <w:r w:rsidRPr="59D3369C" w:rsidR="59D3369C">
              <w:rPr>
                <w:rFonts w:ascii="Lato" w:hAnsi="Lato" w:eastAsia="Lato" w:cs="Lato"/>
                <w:sz w:val="22"/>
                <w:szCs w:val="22"/>
              </w:rPr>
              <w:t>Must be able to manage large-scale evaluations and determine evaluation methods.</w:t>
            </w:r>
          </w:p>
          <w:p w:rsidR="59D3369C" w:rsidP="59D3369C" w:rsidRDefault="59D3369C" w14:paraId="14385F43" w14:textId="60AA326E">
            <w:pPr>
              <w:spacing w:before="0" w:beforeAutospacing="off" w:after="0" w:afterAutospacing="off"/>
              <w:ind w:left="720" w:right="0"/>
            </w:pPr>
            <w:r w:rsidRPr="59D3369C" w:rsidR="59D3369C">
              <w:rPr>
                <w:rFonts w:ascii="Lato" w:hAnsi="Lato" w:eastAsia="Lato" w:cs="Lato"/>
                <w:sz w:val="22"/>
                <w:szCs w:val="22"/>
              </w:rPr>
              <w:t xml:space="preserve"> </w:t>
            </w:r>
          </w:p>
          <w:p w:rsidR="59D3369C" w:rsidP="59D3369C" w:rsidRDefault="59D3369C" w14:paraId="5BB0EA2E" w14:textId="1FEC1DA8">
            <w:pPr>
              <w:spacing w:before="0" w:beforeAutospacing="off" w:after="0" w:afterAutospacing="off"/>
            </w:pPr>
            <w:r w:rsidRPr="59D3369C" w:rsidR="59D3369C">
              <w:rPr>
                <w:rFonts w:ascii="Lato" w:hAnsi="Lato" w:eastAsia="Lato" w:cs="Lato"/>
                <w:b w:val="1"/>
                <w:bCs w:val="1"/>
                <w:sz w:val="22"/>
                <w:szCs w:val="22"/>
              </w:rPr>
              <w:t>Desirable</w:t>
            </w:r>
          </w:p>
          <w:p w:rsidR="59D3369C" w:rsidP="59D3369C" w:rsidRDefault="59D3369C" w14:paraId="3D237346" w14:textId="1B093B02">
            <w:pPr>
              <w:spacing w:before="0" w:beforeAutospacing="off" w:after="0" w:afterAutospacing="off"/>
            </w:pPr>
            <w:r w:rsidRPr="59D3369C" w:rsidR="59D3369C">
              <w:rPr>
                <w:rFonts w:ascii="Lato" w:hAnsi="Lato" w:eastAsia="Lato" w:cs="Lato"/>
                <w:b w:val="1"/>
                <w:bCs w:val="1"/>
                <w:sz w:val="22"/>
                <w:szCs w:val="22"/>
              </w:rPr>
              <w:t xml:space="preserve"> </w:t>
            </w:r>
          </w:p>
          <w:p w:rsidR="59D3369C" w:rsidP="59D3369C" w:rsidRDefault="59D3369C" w14:paraId="447338D9" w14:textId="1AD0DE65">
            <w:pPr>
              <w:spacing w:before="0" w:beforeAutospacing="off" w:after="0" w:afterAutospacing="off"/>
            </w:pPr>
            <w:r w:rsidRPr="59D3369C" w:rsidR="59D3369C">
              <w:rPr>
                <w:rFonts w:ascii="Lato" w:hAnsi="Lato" w:eastAsia="Lato" w:cs="Lato"/>
                <w:sz w:val="22"/>
                <w:szCs w:val="22"/>
              </w:rPr>
              <w:t>N/A</w:t>
            </w:r>
          </w:p>
          <w:p w:rsidR="59D3369C" w:rsidP="59D3369C" w:rsidRDefault="59D3369C" w14:paraId="74171C25" w14:textId="409685F2">
            <w:pPr>
              <w:spacing w:before="0" w:beforeAutospacing="off" w:after="0" w:afterAutospacing="off"/>
            </w:pPr>
            <w:r w:rsidRPr="59D3369C" w:rsidR="59D3369C">
              <w:rPr>
                <w:rFonts w:ascii="Lato" w:hAnsi="Lato" w:eastAsia="Lato" w:cs="Lato"/>
                <w:sz w:val="22"/>
                <w:szCs w:val="22"/>
              </w:rPr>
              <w:t xml:space="preserve"> </w:t>
            </w:r>
          </w:p>
        </w:tc>
      </w:tr>
    </w:tbl>
    <w:p xmlns:wp14="http://schemas.microsoft.com/office/word/2010/wordml" w:rsidR="006D1DF1" w:rsidP="59D3369C" w:rsidRDefault="006D1DF1" w14:paraId="0F8B4780" wp14:textId="06423518">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10308"/>
      </w:tblGrid>
      <w:tr w:rsidR="59D3369C" w:rsidTr="59D3369C" w14:paraId="31B290F3">
        <w:trPr>
          <w:trHeight w:val="300"/>
        </w:trPr>
        <w:tc>
          <w:tcPr>
            <w:tcW w:w="10308"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2B7AEC46" w14:textId="29B22E66">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Safeguarding</w:t>
            </w:r>
          </w:p>
        </w:tc>
      </w:tr>
      <w:tr w:rsidR="59D3369C" w:rsidTr="59D3369C" w14:paraId="36847D03">
        <w:trPr>
          <w:trHeight w:val="300"/>
        </w:trPr>
        <w:tc>
          <w:tcPr>
            <w:tcW w:w="1030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58D2C896" w14:textId="61849B8B">
            <w:pPr>
              <w:tabs>
                <w:tab w:val="left" w:leader="none" w:pos="984"/>
              </w:tabs>
              <w:spacing w:before="0" w:beforeAutospacing="off" w:after="0" w:afterAutospacing="off"/>
            </w:pPr>
            <w:r w:rsidRPr="59D3369C" w:rsidR="59D3369C">
              <w:rPr>
                <w:rFonts w:ascii="Lato" w:hAnsi="Lato" w:eastAsia="Lato" w:cs="Lato"/>
                <w:sz w:val="22"/>
                <w:szCs w:val="22"/>
              </w:rPr>
              <w:t>We need to keep children and adults safe so our selection process includes rigorous background checks and reflects our commitment to the protection of children and adults from abuse.</w:t>
            </w:r>
          </w:p>
          <w:p w:rsidR="59D3369C" w:rsidP="59D3369C" w:rsidRDefault="59D3369C" w14:paraId="49925B7C" w14:textId="45DE9D6C">
            <w:pPr>
              <w:tabs>
                <w:tab w:val="left" w:leader="none" w:pos="984"/>
              </w:tabs>
              <w:spacing w:before="0" w:beforeAutospacing="off" w:after="0" w:afterAutospacing="off"/>
            </w:pPr>
            <w:r w:rsidRPr="59D3369C" w:rsidR="59D3369C">
              <w:rPr>
                <w:rFonts w:ascii="Lato" w:hAnsi="Lato" w:eastAsia="Lato" w:cs="Lato"/>
                <w:sz w:val="22"/>
                <w:szCs w:val="22"/>
              </w:rPr>
              <w:t xml:space="preserve"> </w:t>
            </w:r>
          </w:p>
          <w:p w:rsidR="59D3369C" w:rsidP="59D3369C" w:rsidRDefault="59D3369C" w14:paraId="6D2F71C8" w14:textId="4A01EDC9">
            <w:pPr>
              <w:tabs>
                <w:tab w:val="left" w:leader="none" w:pos="984"/>
              </w:tabs>
              <w:spacing w:before="0" w:beforeAutospacing="off" w:after="0" w:afterAutospacing="off"/>
            </w:pPr>
            <w:r w:rsidRPr="59D3369C" w:rsidR="59D3369C">
              <w:rPr>
                <w:rFonts w:ascii="Lato" w:hAnsi="Lato" w:eastAsia="Lato" w:cs="Lato"/>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p w:rsidR="59D3369C" w:rsidP="59D3369C" w:rsidRDefault="59D3369C" w14:paraId="0A72D204" w14:textId="6E26FDA0">
            <w:pPr>
              <w:spacing w:before="0" w:beforeAutospacing="off" w:after="0" w:afterAutospacing="off"/>
            </w:pPr>
            <w:r w:rsidRPr="59D3369C" w:rsidR="59D3369C">
              <w:rPr>
                <w:rFonts w:ascii="Lato" w:hAnsi="Lato" w:eastAsia="Lato" w:cs="Lato"/>
                <w:b w:val="1"/>
                <w:bCs w:val="1"/>
                <w:sz w:val="22"/>
                <w:szCs w:val="22"/>
              </w:rPr>
              <w:t xml:space="preserve"> </w:t>
            </w:r>
          </w:p>
        </w:tc>
      </w:tr>
    </w:tbl>
    <w:p xmlns:wp14="http://schemas.microsoft.com/office/word/2010/wordml" w:rsidR="006D1DF1" w:rsidP="59D3369C" w:rsidRDefault="006D1DF1" w14:paraId="3429F18B" wp14:textId="1A54C25B">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10308"/>
      </w:tblGrid>
      <w:tr w:rsidR="59D3369C" w:rsidTr="59D3369C" w14:paraId="64C43DC3">
        <w:trPr>
          <w:trHeight w:val="300"/>
        </w:trPr>
        <w:tc>
          <w:tcPr>
            <w:tcW w:w="10308"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47312AAE" w14:textId="6A9F5E68">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Diversity, Equity and Inclusion and Equal Opportunities</w:t>
            </w:r>
            <w:r w:rsidRPr="59D3369C" w:rsidR="59D3369C">
              <w:rPr>
                <w:rFonts w:ascii="Lato" w:hAnsi="Lato" w:eastAsia="Lato" w:cs="Lato"/>
                <w:color w:val="000000" w:themeColor="text1" w:themeTint="FF" w:themeShade="FF"/>
                <w:sz w:val="22"/>
                <w:szCs w:val="22"/>
              </w:rPr>
              <w:t xml:space="preserve"> </w:t>
            </w:r>
          </w:p>
        </w:tc>
      </w:tr>
      <w:tr w:rsidR="59D3369C" w:rsidTr="59D3369C" w14:paraId="5B98144A">
        <w:trPr>
          <w:trHeight w:val="300"/>
        </w:trPr>
        <w:tc>
          <w:tcPr>
            <w:tcW w:w="1030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19B26207" w14:textId="74324867">
            <w:pPr>
              <w:spacing w:before="0" w:beforeAutospacing="off" w:after="0" w:afterAutospacing="off"/>
            </w:pPr>
            <w:r w:rsidRPr="59D3369C" w:rsidR="59D3369C">
              <w:rPr>
                <w:rFonts w:ascii="Lato" w:hAnsi="Lato" w:eastAsia="Lato" w:cs="Lato"/>
                <w:sz w:val="22"/>
                <w:szCs w:val="22"/>
              </w:rPr>
              <w:t xml:space="preserve">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p>
          <w:p w:rsidR="59D3369C" w:rsidP="59D3369C" w:rsidRDefault="59D3369C" w14:paraId="44E74A71" w14:textId="3014BDD8">
            <w:pPr>
              <w:spacing w:before="0" w:beforeAutospacing="off" w:after="0" w:afterAutospacing="off"/>
            </w:pPr>
            <w:r w:rsidRPr="59D3369C" w:rsidR="59D3369C">
              <w:rPr>
                <w:rFonts w:ascii="Lato" w:hAnsi="Lato" w:eastAsia="Lato" w:cs="Lato"/>
                <w:sz w:val="22"/>
                <w:szCs w:val="22"/>
              </w:rPr>
              <w:t xml:space="preserve"> </w:t>
            </w:r>
          </w:p>
          <w:p w:rsidR="59D3369C" w:rsidP="59D3369C" w:rsidRDefault="59D3369C" w14:paraId="070CB4DE" w14:textId="1AF111A2">
            <w:pPr>
              <w:spacing w:before="0" w:beforeAutospacing="off" w:after="0" w:afterAutospacing="off"/>
            </w:pPr>
            <w:r w:rsidRPr="59D3369C" w:rsidR="59D3369C">
              <w:rPr>
                <w:rFonts w:ascii="Lato" w:hAnsi="Lato" w:eastAsia="Lato" w:cs="Lato"/>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We are committed to diversifying our staff to better represent the communities we serve and actively welcome underrepresented groups to apply. </w:t>
            </w:r>
          </w:p>
          <w:p w:rsidR="59D3369C" w:rsidP="59D3369C" w:rsidRDefault="59D3369C" w14:paraId="18B48AA7" w14:textId="354B681B">
            <w:pPr>
              <w:spacing w:before="0" w:beforeAutospacing="off" w:after="0" w:afterAutospacing="off"/>
            </w:pPr>
            <w:r w:rsidRPr="59D3369C" w:rsidR="59D3369C">
              <w:rPr>
                <w:rFonts w:ascii="Lato" w:hAnsi="Lato" w:eastAsia="Lato" w:cs="Lato"/>
                <w:sz w:val="22"/>
                <w:szCs w:val="22"/>
              </w:rPr>
              <w:t xml:space="preserve"> </w:t>
            </w:r>
          </w:p>
          <w:p w:rsidR="59D3369C" w:rsidP="59D3369C" w:rsidRDefault="59D3369C" w14:paraId="0592C228" w14:textId="6E3F6F5B">
            <w:pPr>
              <w:spacing w:before="0" w:beforeAutospacing="off" w:after="0" w:afterAutospacing="off"/>
            </w:pPr>
            <w:r w:rsidRPr="59D3369C" w:rsidR="59D3369C">
              <w:rPr>
                <w:rFonts w:ascii="Lato" w:hAnsi="Lato" w:eastAsia="Lato" w:cs="Lato"/>
                <w:sz w:val="22"/>
                <w:szCs w:val="22"/>
              </w:rPr>
              <w:t xml:space="preserve">Reasonable adjustments will be made should any candidate invited to interview require this.   </w:t>
            </w:r>
          </w:p>
          <w:p w:rsidR="59D3369C" w:rsidP="59D3369C" w:rsidRDefault="59D3369C" w14:paraId="0BD61B19" w14:textId="321DD775">
            <w:pPr>
              <w:spacing w:before="0" w:beforeAutospacing="off" w:after="0" w:afterAutospacing="off"/>
            </w:pPr>
            <w:r w:rsidRPr="59D3369C" w:rsidR="59D3369C">
              <w:rPr>
                <w:rFonts w:ascii="Lato" w:hAnsi="Lato" w:eastAsia="Lato" w:cs="Lato"/>
                <w:sz w:val="22"/>
                <w:szCs w:val="22"/>
              </w:rPr>
              <w:t xml:space="preserve"> </w:t>
            </w:r>
          </w:p>
        </w:tc>
      </w:tr>
    </w:tbl>
    <w:p xmlns:wp14="http://schemas.microsoft.com/office/word/2010/wordml" w:rsidR="006D1DF1" w:rsidP="59D3369C" w:rsidRDefault="006D1DF1" w14:paraId="57251587" wp14:textId="11BBCE80">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p xmlns:wp14="http://schemas.microsoft.com/office/word/2010/wordml" w:rsidR="006D1DF1" w:rsidP="59D3369C" w:rsidRDefault="006D1DF1" w14:paraId="2C6C20C3" wp14:textId="3861AC46">
      <w:pPr>
        <w:spacing w:before="0" w:beforeAutospacing="off" w:after="0" w:afterAutospacing="off"/>
      </w:pPr>
      <w:r w:rsidRPr="59D3369C" w:rsidR="2BDC55A8">
        <w:rPr>
          <w:rFonts w:ascii="Lato" w:hAnsi="Lato" w:eastAsia="Lato" w:cs="Lato"/>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2061"/>
        <w:gridCol w:w="2062"/>
        <w:gridCol w:w="2061"/>
        <w:gridCol w:w="2062"/>
        <w:gridCol w:w="2062"/>
      </w:tblGrid>
      <w:tr w:rsidR="59D3369C" w:rsidTr="59D3369C" w14:paraId="550F42FC">
        <w:trPr>
          <w:trHeight w:val="300"/>
        </w:trPr>
        <w:tc>
          <w:tcPr>
            <w:tcW w:w="10308"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69E99AD5" w14:textId="15FB41B8">
            <w:pPr>
              <w:spacing w:before="0" w:beforeAutospacing="off" w:after="0" w:afterAutospacing="off"/>
            </w:pPr>
            <w:r w:rsidRPr="59D3369C" w:rsidR="59D3369C">
              <w:rPr>
                <w:rFonts w:ascii="Lato" w:hAnsi="Lato" w:eastAsia="Lato" w:cs="Lato"/>
                <w:b w:val="1"/>
                <w:bCs w:val="1"/>
                <w:color w:val="000000" w:themeColor="text1" w:themeTint="FF" w:themeShade="FF"/>
                <w:sz w:val="22"/>
                <w:szCs w:val="22"/>
              </w:rPr>
              <w:t>Version Control and Approval</w:t>
            </w:r>
          </w:p>
        </w:tc>
      </w:tr>
      <w:tr w:rsidR="59D3369C" w:rsidTr="59D3369C" w14:paraId="1E5599E7">
        <w:trPr>
          <w:trHeight w:val="300"/>
        </w:trPr>
        <w:tc>
          <w:tcPr>
            <w:tcW w:w="2061" w:type="dxa"/>
            <w:tcBorders>
              <w:top w:val="single"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127885C4" w14:textId="1C9CF7AE">
            <w:pPr>
              <w:spacing w:before="0" w:beforeAutospacing="off" w:after="0" w:afterAutospacing="off"/>
            </w:pPr>
            <w:r w:rsidRPr="59D3369C" w:rsidR="59D3369C">
              <w:rPr>
                <w:rFonts w:ascii="Lato" w:hAnsi="Lato" w:eastAsia="Lato" w:cs="Lato"/>
                <w:color w:val="000000" w:themeColor="text1" w:themeTint="FF" w:themeShade="FF"/>
                <w:sz w:val="22"/>
                <w:szCs w:val="22"/>
              </w:rPr>
              <w:t>Version</w:t>
            </w:r>
          </w:p>
        </w:tc>
        <w:tc>
          <w:tcPr>
            <w:tcW w:w="2062" w:type="dxa"/>
            <w:tcBorders>
              <w:top w:val="nil"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3A0AD2CC" w14:textId="42F56BA9">
            <w:pPr>
              <w:spacing w:before="0" w:beforeAutospacing="off" w:after="0" w:afterAutospacing="off"/>
            </w:pPr>
            <w:r w:rsidRPr="59D3369C" w:rsidR="59D3369C">
              <w:rPr>
                <w:rFonts w:ascii="Lato" w:hAnsi="Lato" w:eastAsia="Lato" w:cs="Lato"/>
                <w:color w:val="000000" w:themeColor="text1" w:themeTint="FF" w:themeShade="FF"/>
                <w:sz w:val="22"/>
                <w:szCs w:val="22"/>
              </w:rPr>
              <w:t>Date</w:t>
            </w:r>
          </w:p>
        </w:tc>
        <w:tc>
          <w:tcPr>
            <w:tcW w:w="2061" w:type="dxa"/>
            <w:tcBorders>
              <w:top w:val="nil"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038F1575" w14:textId="44C4B78C">
            <w:pPr>
              <w:spacing w:before="0" w:beforeAutospacing="off" w:after="0" w:afterAutospacing="off"/>
            </w:pPr>
            <w:r w:rsidRPr="59D3369C" w:rsidR="59D3369C">
              <w:rPr>
                <w:rFonts w:ascii="Lato" w:hAnsi="Lato" w:eastAsia="Lato" w:cs="Lato"/>
                <w:color w:val="000000" w:themeColor="text1" w:themeTint="FF" w:themeShade="FF"/>
                <w:sz w:val="22"/>
                <w:szCs w:val="22"/>
              </w:rPr>
              <w:t>Author</w:t>
            </w:r>
          </w:p>
        </w:tc>
        <w:tc>
          <w:tcPr>
            <w:tcW w:w="2062" w:type="dxa"/>
            <w:tcBorders>
              <w:top w:val="nil"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4F4CD67B" w14:textId="24FDEE6B">
            <w:pPr>
              <w:spacing w:before="0" w:beforeAutospacing="off" w:after="0" w:afterAutospacing="off"/>
            </w:pPr>
            <w:r w:rsidRPr="59D3369C" w:rsidR="59D3369C">
              <w:rPr>
                <w:rFonts w:ascii="Lato" w:hAnsi="Lato" w:eastAsia="Lato" w:cs="Lato"/>
                <w:color w:val="000000" w:themeColor="text1" w:themeTint="FF" w:themeShade="FF"/>
                <w:sz w:val="22"/>
                <w:szCs w:val="22"/>
              </w:rPr>
              <w:t>Reviewer</w:t>
            </w:r>
          </w:p>
        </w:tc>
        <w:tc>
          <w:tcPr>
            <w:tcW w:w="2062" w:type="dxa"/>
            <w:tcBorders>
              <w:top w:val="nil" w:color="000000" w:themeColor="text1" w:sz="8"/>
              <w:left w:val="single" w:color="000000" w:themeColor="text1" w:sz="8"/>
              <w:bottom w:val="single" w:color="000000" w:themeColor="text1" w:sz="8"/>
              <w:right w:val="single" w:color="000000" w:themeColor="text1" w:sz="8"/>
            </w:tcBorders>
            <w:shd w:val="clear" w:color="auto" w:fill="D5E0E1"/>
            <w:tcMar>
              <w:left w:w="108" w:type="dxa"/>
              <w:right w:w="108" w:type="dxa"/>
            </w:tcMar>
            <w:vAlign w:val="top"/>
          </w:tcPr>
          <w:p w:rsidR="59D3369C" w:rsidP="59D3369C" w:rsidRDefault="59D3369C" w14:paraId="77E73ACC" w14:textId="26578B87">
            <w:pPr>
              <w:spacing w:before="0" w:beforeAutospacing="off" w:after="0" w:afterAutospacing="off"/>
            </w:pPr>
            <w:r w:rsidRPr="59D3369C" w:rsidR="59D3369C">
              <w:rPr>
                <w:rFonts w:ascii="Lato" w:hAnsi="Lato" w:eastAsia="Lato" w:cs="Lato"/>
                <w:color w:val="000000" w:themeColor="text1" w:themeTint="FF" w:themeShade="FF"/>
                <w:sz w:val="22"/>
                <w:szCs w:val="22"/>
              </w:rPr>
              <w:t>Approver</w:t>
            </w:r>
          </w:p>
        </w:tc>
      </w:tr>
      <w:tr w:rsidR="59D3369C" w:rsidTr="59D3369C" w14:paraId="4EC9AC0B">
        <w:trPr>
          <w:trHeight w:val="300"/>
        </w:trPr>
        <w:tc>
          <w:tcPr>
            <w:tcW w:w="2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5AC1ECC1" w14:textId="2BEE7F05">
            <w:pPr>
              <w:spacing w:before="0" w:beforeAutospacing="off" w:after="0" w:afterAutospacing="off"/>
            </w:pPr>
            <w:r w:rsidRPr="59D3369C" w:rsidR="59D3369C">
              <w:rPr>
                <w:rFonts w:ascii="Lato" w:hAnsi="Lato" w:eastAsia="Lato" w:cs="Lato"/>
                <w:sz w:val="22"/>
                <w:szCs w:val="22"/>
              </w:rPr>
              <w:t>1</w:t>
            </w:r>
          </w:p>
        </w:tc>
        <w:tc>
          <w:tcPr>
            <w:tcW w:w="206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6666F006" w14:textId="75A11A01">
            <w:pPr>
              <w:spacing w:before="0" w:beforeAutospacing="off" w:after="0" w:afterAutospacing="off"/>
            </w:pPr>
            <w:r w:rsidRPr="59D3369C" w:rsidR="59D3369C">
              <w:rPr>
                <w:rFonts w:ascii="Lato" w:hAnsi="Lato" w:eastAsia="Lato" w:cs="Lato"/>
                <w:sz w:val="22"/>
                <w:szCs w:val="22"/>
              </w:rPr>
              <w:t xml:space="preserve"> </w:t>
            </w:r>
          </w:p>
        </w:tc>
        <w:tc>
          <w:tcPr>
            <w:tcW w:w="2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368F84B4" w14:textId="4B82FE5D">
            <w:pPr>
              <w:spacing w:before="0" w:beforeAutospacing="off" w:after="0" w:afterAutospacing="off"/>
            </w:pPr>
            <w:r w:rsidRPr="59D3369C" w:rsidR="59D3369C">
              <w:rPr>
                <w:rFonts w:ascii="Lato" w:hAnsi="Lato" w:eastAsia="Lato" w:cs="Lato"/>
                <w:sz w:val="22"/>
                <w:szCs w:val="22"/>
              </w:rPr>
              <w:t>Lisa Parrott</w:t>
            </w:r>
          </w:p>
        </w:tc>
        <w:tc>
          <w:tcPr>
            <w:tcW w:w="206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362FBACC" w14:textId="76C9E21C">
            <w:pPr>
              <w:spacing w:before="0" w:beforeAutospacing="off" w:after="0" w:afterAutospacing="off"/>
            </w:pPr>
            <w:r w:rsidRPr="59D3369C" w:rsidR="59D3369C">
              <w:rPr>
                <w:rFonts w:ascii="Lato" w:hAnsi="Lato" w:eastAsia="Lato" w:cs="Lato"/>
                <w:sz w:val="22"/>
                <w:szCs w:val="22"/>
              </w:rPr>
              <w:t xml:space="preserve"> </w:t>
            </w:r>
          </w:p>
        </w:tc>
        <w:tc>
          <w:tcPr>
            <w:tcW w:w="206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9D3369C" w:rsidP="59D3369C" w:rsidRDefault="59D3369C" w14:paraId="0C876E8F" w14:textId="253EA3C5">
            <w:pPr>
              <w:spacing w:before="0" w:beforeAutospacing="off" w:after="0" w:afterAutospacing="off"/>
            </w:pPr>
            <w:r w:rsidRPr="59D3369C" w:rsidR="59D3369C">
              <w:rPr>
                <w:rFonts w:ascii="Lato" w:hAnsi="Lato" w:eastAsia="Lato" w:cs="Lato"/>
                <w:sz w:val="22"/>
                <w:szCs w:val="22"/>
              </w:rPr>
              <w:t xml:space="preserve"> </w:t>
            </w:r>
          </w:p>
        </w:tc>
      </w:tr>
    </w:tbl>
    <w:p xmlns:wp14="http://schemas.microsoft.com/office/word/2010/wordml" w:rsidR="006D1DF1" w:rsidP="59D3369C" w:rsidRDefault="006D1DF1" w14:paraId="5C96811F" wp14:textId="21AE2AB1">
      <w:pPr>
        <w:spacing w:before="0" w:beforeAutospacing="off" w:after="0" w:afterAutospacing="off"/>
        <w:rPr>
          <w:rFonts w:ascii="Lato" w:hAnsi="Lato" w:eastAsia="Lato" w:cs="Lato"/>
          <w:noProof w:val="0"/>
          <w:sz w:val="22"/>
          <w:szCs w:val="22"/>
          <w:lang w:val="en-GB"/>
        </w:rPr>
      </w:pPr>
    </w:p>
    <w:p xmlns:wp14="http://schemas.microsoft.com/office/word/2010/wordml" w:rsidR="006D1DF1" w:rsidP="59D3369C" w:rsidRDefault="006D1DF1" w14:paraId="45FB0818" wp14:textId="25AADE0F">
      <w:pPr>
        <w:rPr>
          <w:rFonts w:ascii="Lato" w:hAnsi="Lato"/>
          <w:b w:val="1"/>
          <w:bCs w:val="1"/>
          <w:sz w:val="22"/>
          <w:szCs w:val="22"/>
        </w:rPr>
      </w:pPr>
    </w:p>
    <w:p w:rsidR="59D3369C" w:rsidRDefault="59D3369C" w14:paraId="4C79DA02" w14:textId="225792C2"/>
    <w:p xmlns:wp14="http://schemas.microsoft.com/office/word/2010/wordml" w:rsidR="008F7976" w:rsidP="59D3369C" w:rsidRDefault="008F7976" w14:paraId="049F31CB" wp14:textId="77777777" wp14:noSpellErr="1">
      <w:pPr>
        <w:rPr>
          <w:rFonts w:ascii="Lato" w:hAnsi="Lato"/>
          <w:b w:val="1"/>
          <w:bCs w:val="1"/>
          <w:sz w:val="22"/>
          <w:szCs w:val="22"/>
        </w:rPr>
      </w:pPr>
    </w:p>
    <w:p w:rsidR="59D3369C" w:rsidRDefault="59D3369C" w14:paraId="0367670A" w14:textId="627AB10D"/>
    <w:p xmlns:wp14="http://schemas.microsoft.com/office/word/2010/wordml" w:rsidR="008F7976" w:rsidP="59D3369C" w:rsidRDefault="008F7976" w14:paraId="4101652C" wp14:textId="77777777" wp14:noSpellErr="1">
      <w:pPr>
        <w:rPr>
          <w:rFonts w:ascii="Lato" w:hAnsi="Lato"/>
          <w:b w:val="1"/>
          <w:bCs w:val="1"/>
          <w:sz w:val="22"/>
          <w:szCs w:val="22"/>
        </w:rPr>
      </w:pPr>
    </w:p>
    <w:p w:rsidR="59D3369C" w:rsidRDefault="59D3369C" w14:paraId="3FA99E64" w14:textId="4E765E0A"/>
    <w:p xmlns:wp14="http://schemas.microsoft.com/office/word/2010/wordml" w:rsidR="00626423" w:rsidP="59D3369C" w:rsidRDefault="00626423" w14:paraId="3461D779" wp14:textId="77777777" wp14:noSpellErr="1">
      <w:pPr>
        <w:rPr>
          <w:rFonts w:ascii="Lato" w:hAnsi="Lato"/>
          <w:b w:val="1"/>
          <w:bCs w:val="1"/>
          <w:sz w:val="22"/>
          <w:szCs w:val="22"/>
        </w:rPr>
      </w:pPr>
    </w:p>
    <w:p w:rsidR="59D3369C" w:rsidRDefault="59D3369C" w14:paraId="19746AEA" w14:textId="1C13388E"/>
    <w:p xmlns:wp14="http://schemas.microsoft.com/office/word/2010/wordml" w:rsidR="00F13ABA" w:rsidP="59D3369C" w:rsidRDefault="00F13ABA" w14:paraId="1FC39945" wp14:textId="77777777" wp14:noSpellErr="1">
      <w:pPr>
        <w:rPr>
          <w:rFonts w:ascii="Lato" w:hAnsi="Lato"/>
          <w:b w:val="1"/>
          <w:bCs w:val="1"/>
          <w:sz w:val="22"/>
          <w:szCs w:val="22"/>
        </w:rPr>
      </w:pPr>
    </w:p>
    <w:p w:rsidR="59D3369C" w:rsidRDefault="59D3369C" w14:paraId="2DDC99F4" w14:textId="27C038D8"/>
    <w:p xmlns:wp14="http://schemas.microsoft.com/office/word/2010/wordml" w:rsidR="002E64D8" w:rsidP="59D3369C" w:rsidRDefault="002E64D8" w14:paraId="5997CC1D" wp14:textId="77777777" wp14:noSpellErr="1">
      <w:pPr>
        <w:rPr>
          <w:rFonts w:ascii="Lato" w:hAnsi="Lato"/>
          <w:b w:val="1"/>
          <w:bCs w:val="1"/>
          <w:sz w:val="22"/>
          <w:szCs w:val="22"/>
        </w:rPr>
      </w:pPr>
    </w:p>
    <w:p w:rsidR="59D3369C" w:rsidRDefault="59D3369C" w14:paraId="407B925E" w14:textId="2E6DD411"/>
    <w:p xmlns:wp14="http://schemas.microsoft.com/office/word/2010/wordml" w:rsidR="00F13ABA" w:rsidP="59D3369C" w:rsidRDefault="00F13ABA" w14:paraId="08CE6F91" wp14:textId="77777777" wp14:noSpellErr="1">
      <w:pPr>
        <w:rPr>
          <w:rFonts w:ascii="Lato" w:hAnsi="Lato"/>
          <w:b w:val="1"/>
          <w:bCs w:val="1"/>
          <w:sz w:val="22"/>
          <w:szCs w:val="22"/>
        </w:rPr>
      </w:pPr>
    </w:p>
    <w:p w:rsidR="59D3369C" w:rsidRDefault="59D3369C" w14:paraId="29D210EB" w14:textId="7858559E"/>
    <w:p xmlns:wp14="http://schemas.microsoft.com/office/word/2010/wordml" w:rsidRPr="005E601E" w:rsidR="00072577" w:rsidP="59D3369C" w:rsidRDefault="00072577" w14:paraId="23DE523C" wp14:textId="77777777" wp14:noSpellErr="1">
      <w:pPr>
        <w:rPr>
          <w:rFonts w:ascii="Lato" w:hAnsi="Lato"/>
          <w:b w:val="1"/>
          <w:bCs w:val="1"/>
          <w:sz w:val="22"/>
          <w:szCs w:val="22"/>
        </w:rPr>
      </w:pPr>
    </w:p>
    <w:p w:rsidR="59D3369C" w:rsidRDefault="59D3369C" w14:paraId="6D645C75" w14:textId="0F74EFD2"/>
    <w:p xmlns:wp14="http://schemas.microsoft.com/office/word/2010/wordml" w:rsidRPr="005E601E" w:rsidR="00072577" w:rsidP="59D3369C" w:rsidRDefault="00072577" w14:paraId="07547A01" wp14:noSpellErr="1" wp14:textId="1EE0AD9F">
      <w:pPr>
        <w:pStyle w:val="Normal"/>
        <w:rPr>
          <w:rFonts w:ascii="Lato" w:hAnsi="Lato"/>
          <w:b w:val="1"/>
          <w:bCs w:val="1"/>
          <w:sz w:val="22"/>
          <w:szCs w:val="22"/>
        </w:rPr>
      </w:pPr>
    </w:p>
    <w:p w:rsidR="59D3369C" w:rsidRDefault="59D3369C" w14:paraId="7FFE6D0A" w14:textId="78FDF445"/>
    <w:p w:rsidR="59D3369C" w:rsidRDefault="59D3369C" w14:paraId="17184DD8" w14:textId="7BF8C25E"/>
    <w:p xmlns:wp14="http://schemas.microsoft.com/office/word/2010/wordml" w:rsidRPr="005E601E" w:rsidR="00E73935" w:rsidP="59D3369C" w:rsidRDefault="00E73935" w14:paraId="70DF9E56" wp14:noSpellErr="1" wp14:textId="15A44231">
      <w:pPr>
        <w:pStyle w:val="Normal"/>
        <w:ind/>
        <w:rPr>
          <w:rFonts w:ascii="Lato" w:hAnsi="Lato"/>
          <w:sz w:val="22"/>
          <w:szCs w:val="22"/>
        </w:rPr>
      </w:pPr>
    </w:p>
    <w:sectPr w:rsidRPr="005E601E" w:rsidR="00E73935" w:rsidSect="00BB6541">
      <w:footerReference w:type="default" r:id="rId11"/>
      <w:pgSz w:w="11906" w:h="16838" w:orient="portrait"/>
      <w:pgMar w:top="720" w:right="720" w:bottom="720" w:left="720" w:header="0"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3DE49C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EA8370" w16cex:dateUtc="2024-09-19T13:03:58.806Z"/>
</w16cex:commentsExtensible>
</file>

<file path=word/commentsIds.xml><?xml version="1.0" encoding="utf-8"?>
<w16cid:commentsIds xmlns:mc="http://schemas.openxmlformats.org/markup-compatibility/2006" xmlns:w16cid="http://schemas.microsoft.com/office/word/2016/wordml/cid" mc:Ignorable="w16cid">
  <w16cid:commentId w16cid:paraId="63DE49CF" w16cid:durableId="3CEA83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4F05B9" w:rsidP="00CB745D" w:rsidRDefault="004F05B9" w14:paraId="738610EB" wp14:textId="77777777">
      <w:r>
        <w:separator/>
      </w:r>
    </w:p>
  </w:endnote>
  <w:endnote w:type="continuationSeparator" w:id="0">
    <w:p xmlns:wp14="http://schemas.microsoft.com/office/word/2010/wordml" w:rsidR="004F05B9" w:rsidP="00CB745D" w:rsidRDefault="004F05B9" w14:paraId="637805D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66BB5" w:rsidRDefault="00D66BB5" w14:paraId="48BDD45C" wp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4F05B9" w:rsidP="00CB745D" w:rsidRDefault="004F05B9" w14:paraId="44E871BC" wp14:textId="77777777">
      <w:r>
        <w:separator/>
      </w:r>
    </w:p>
  </w:footnote>
  <w:footnote w:type="continuationSeparator" w:id="0">
    <w:p xmlns:wp14="http://schemas.microsoft.com/office/word/2010/wordml" w:rsidR="004F05B9" w:rsidP="00CB745D" w:rsidRDefault="004F05B9" w14:paraId="144A5D23"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4">
    <w:nsid w:val="4a7ea2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ddf79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a71c4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537c1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d320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16832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EA4F93"/>
    <w:multiLevelType w:val="hybridMultilevel"/>
    <w:tmpl w:val="62AE28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5D715B"/>
    <w:multiLevelType w:val="hybridMultilevel"/>
    <w:tmpl w:val="67E09760"/>
    <w:lvl w:ilvl="0" w:tplc="04090001">
      <w:start w:val="1"/>
      <w:numFmt w:val="bullet"/>
      <w:lvlText w:val=""/>
      <w:lvlJc w:val="left"/>
      <w:pPr>
        <w:ind w:left="720" w:hanging="360"/>
      </w:pPr>
      <w:rPr>
        <w:rFonts w:hint="default" w:ascii="Symbol" w:hAnsi="Symbol"/>
      </w:rPr>
    </w:lvl>
    <w:lvl w:ilvl="1" w:tplc="A732BDB4">
      <w:numFmt w:val="bullet"/>
      <w:lvlText w:val="•"/>
      <w:lvlJc w:val="left"/>
      <w:pPr>
        <w:ind w:left="1800" w:hanging="720"/>
      </w:pPr>
      <w:rPr>
        <w:rFonts w:hint="default" w:ascii="Lato" w:hAnsi="Lato" w:eastAsia="Times New Roman"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3C659AB"/>
    <w:multiLevelType w:val="hybridMultilevel"/>
    <w:tmpl w:val="7A660E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F33910"/>
    <w:multiLevelType w:val="hybridMultilevel"/>
    <w:tmpl w:val="75CED1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3F072D8"/>
    <w:multiLevelType w:val="hybridMultilevel"/>
    <w:tmpl w:val="4A3E8E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4B3327E"/>
    <w:multiLevelType w:val="hybridMultilevel"/>
    <w:tmpl w:val="99CA7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C3459"/>
    <w:multiLevelType w:val="hybridMultilevel"/>
    <w:tmpl w:val="10AAA1D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452B58B1"/>
    <w:multiLevelType w:val="hybridMultilevel"/>
    <w:tmpl w:val="899497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0057B52"/>
    <w:multiLevelType w:val="hybridMultilevel"/>
    <w:tmpl w:val="1310CA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0A26A74"/>
    <w:multiLevelType w:val="hybridMultilevel"/>
    <w:tmpl w:val="7974B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C966A85"/>
    <w:multiLevelType w:val="hybridMultilevel"/>
    <w:tmpl w:val="681ED9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F7B6406"/>
    <w:multiLevelType w:val="hybridMultilevel"/>
    <w:tmpl w:val="0E9A7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 w16cid:durableId="1753354227">
    <w:abstractNumId w:val="10"/>
  </w:num>
  <w:num w:numId="2" w16cid:durableId="210113361">
    <w:abstractNumId w:val="5"/>
  </w:num>
  <w:num w:numId="3" w16cid:durableId="1111827236">
    <w:abstractNumId w:val="0"/>
  </w:num>
  <w:num w:numId="4" w16cid:durableId="1215003269">
    <w:abstractNumId w:val="1"/>
  </w:num>
  <w:num w:numId="5" w16cid:durableId="438260864">
    <w:abstractNumId w:val="2"/>
  </w:num>
  <w:num w:numId="6" w16cid:durableId="1999578949">
    <w:abstractNumId w:val="3"/>
  </w:num>
  <w:num w:numId="7" w16cid:durableId="761297597">
    <w:abstractNumId w:val="7"/>
  </w:num>
  <w:num w:numId="8" w16cid:durableId="2136485688">
    <w:abstractNumId w:val="18"/>
  </w:num>
  <w:num w:numId="9" w16cid:durableId="1091127309">
    <w:abstractNumId w:val="6"/>
  </w:num>
  <w:num w:numId="10" w16cid:durableId="1395349973">
    <w:abstractNumId w:val="8"/>
  </w:num>
  <w:num w:numId="11" w16cid:durableId="371812360">
    <w:abstractNumId w:val="13"/>
  </w:num>
  <w:num w:numId="12" w16cid:durableId="934485175">
    <w:abstractNumId w:val="14"/>
  </w:num>
  <w:num w:numId="13" w16cid:durableId="1116870607">
    <w:abstractNumId w:val="9"/>
  </w:num>
  <w:num w:numId="14" w16cid:durableId="572739197">
    <w:abstractNumId w:val="12"/>
  </w:num>
  <w:num w:numId="15" w16cid:durableId="1310400748">
    <w:abstractNumId w:val="17"/>
  </w:num>
  <w:num w:numId="16" w16cid:durableId="732890818">
    <w:abstractNumId w:val="4"/>
  </w:num>
  <w:num w:numId="17" w16cid:durableId="1945263648">
    <w:abstractNumId w:val="15"/>
  </w:num>
  <w:num w:numId="18" w16cid:durableId="785006447">
    <w:abstractNumId w:val="11"/>
  </w:num>
  <w:num w:numId="19" w16cid:durableId="1283919134">
    <w:abstractNumId w:val="16"/>
  </w:num>
  <w:numIdMacAtCleanup w:val="2"/>
</w:numbering>
</file>

<file path=word/people.xml><?xml version="1.0" encoding="utf-8"?>
<w15:people xmlns:mc="http://schemas.openxmlformats.org/markup-compatibility/2006" xmlns:w15="http://schemas.microsoft.com/office/word/2012/wordml" mc:Ignorable="w15">
  <w15:person w15:author="Amoko, Clifford">
    <w15:presenceInfo w15:providerId="AD" w15:userId="S::clifford.amoko@savethechildren.org::1d74dddf-2530-470a-a8e9-8ac1fa2509c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4492D"/>
    <w:rsid w:val="00050253"/>
    <w:rsid w:val="000703CA"/>
    <w:rsid w:val="000713F4"/>
    <w:rsid w:val="00072577"/>
    <w:rsid w:val="00073810"/>
    <w:rsid w:val="000C646A"/>
    <w:rsid w:val="000E090C"/>
    <w:rsid w:val="000E5221"/>
    <w:rsid w:val="000E6651"/>
    <w:rsid w:val="000F4917"/>
    <w:rsid w:val="0011289B"/>
    <w:rsid w:val="00112AD7"/>
    <w:rsid w:val="001217A8"/>
    <w:rsid w:val="00134454"/>
    <w:rsid w:val="00134819"/>
    <w:rsid w:val="001564AB"/>
    <w:rsid w:val="00185184"/>
    <w:rsid w:val="00196601"/>
    <w:rsid w:val="001A3DD2"/>
    <w:rsid w:val="001B1770"/>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70FE"/>
    <w:rsid w:val="003C3A8B"/>
    <w:rsid w:val="003D07D3"/>
    <w:rsid w:val="003D5726"/>
    <w:rsid w:val="003E14EE"/>
    <w:rsid w:val="00400C5B"/>
    <w:rsid w:val="004078DD"/>
    <w:rsid w:val="00412E0E"/>
    <w:rsid w:val="00414AD6"/>
    <w:rsid w:val="0044289B"/>
    <w:rsid w:val="00462CDF"/>
    <w:rsid w:val="004731E8"/>
    <w:rsid w:val="00475A5E"/>
    <w:rsid w:val="004B56E0"/>
    <w:rsid w:val="004D2E50"/>
    <w:rsid w:val="004E28BD"/>
    <w:rsid w:val="004F05B9"/>
    <w:rsid w:val="00500FC9"/>
    <w:rsid w:val="005359F8"/>
    <w:rsid w:val="0053784E"/>
    <w:rsid w:val="005434E7"/>
    <w:rsid w:val="005445B4"/>
    <w:rsid w:val="00560E4B"/>
    <w:rsid w:val="005610D1"/>
    <w:rsid w:val="0056685F"/>
    <w:rsid w:val="00573D65"/>
    <w:rsid w:val="00581EF4"/>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7E0F"/>
    <w:rsid w:val="00682617"/>
    <w:rsid w:val="00682F7F"/>
    <w:rsid w:val="006840F0"/>
    <w:rsid w:val="006A4444"/>
    <w:rsid w:val="006C0C3F"/>
    <w:rsid w:val="006C5DF6"/>
    <w:rsid w:val="006D1DF1"/>
    <w:rsid w:val="006E47ED"/>
    <w:rsid w:val="006E4E4B"/>
    <w:rsid w:val="007403B3"/>
    <w:rsid w:val="00743D15"/>
    <w:rsid w:val="00746EA4"/>
    <w:rsid w:val="0075278E"/>
    <w:rsid w:val="00754706"/>
    <w:rsid w:val="00763AB6"/>
    <w:rsid w:val="00764D2E"/>
    <w:rsid w:val="007828BE"/>
    <w:rsid w:val="00792956"/>
    <w:rsid w:val="00792D87"/>
    <w:rsid w:val="007966DD"/>
    <w:rsid w:val="007A015E"/>
    <w:rsid w:val="007A2C42"/>
    <w:rsid w:val="007A3D46"/>
    <w:rsid w:val="007A53E9"/>
    <w:rsid w:val="007C14AA"/>
    <w:rsid w:val="007C2D9B"/>
    <w:rsid w:val="007D25C8"/>
    <w:rsid w:val="007D7312"/>
    <w:rsid w:val="00803E34"/>
    <w:rsid w:val="00806587"/>
    <w:rsid w:val="00827910"/>
    <w:rsid w:val="00842576"/>
    <w:rsid w:val="0084261C"/>
    <w:rsid w:val="00852EEC"/>
    <w:rsid w:val="008642C9"/>
    <w:rsid w:val="00866538"/>
    <w:rsid w:val="008742CD"/>
    <w:rsid w:val="0088087C"/>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94C06"/>
    <w:rsid w:val="009A20A0"/>
    <w:rsid w:val="009A25BE"/>
    <w:rsid w:val="009B2803"/>
    <w:rsid w:val="009C59F1"/>
    <w:rsid w:val="009D3B82"/>
    <w:rsid w:val="009D5D76"/>
    <w:rsid w:val="009E2DAC"/>
    <w:rsid w:val="009E6D6E"/>
    <w:rsid w:val="009F709C"/>
    <w:rsid w:val="00A11161"/>
    <w:rsid w:val="00A246A1"/>
    <w:rsid w:val="00A338D7"/>
    <w:rsid w:val="00A3438F"/>
    <w:rsid w:val="00A37705"/>
    <w:rsid w:val="00A5455B"/>
    <w:rsid w:val="00A67C29"/>
    <w:rsid w:val="00A719CD"/>
    <w:rsid w:val="00A823D0"/>
    <w:rsid w:val="00AA2AFE"/>
    <w:rsid w:val="00AC222F"/>
    <w:rsid w:val="00AC5140"/>
    <w:rsid w:val="00AD5937"/>
    <w:rsid w:val="00AF08A1"/>
    <w:rsid w:val="00B045B5"/>
    <w:rsid w:val="00B22D75"/>
    <w:rsid w:val="00B40758"/>
    <w:rsid w:val="00B42C23"/>
    <w:rsid w:val="00B53992"/>
    <w:rsid w:val="00B557D5"/>
    <w:rsid w:val="00B57878"/>
    <w:rsid w:val="00B67C5E"/>
    <w:rsid w:val="00B7115A"/>
    <w:rsid w:val="00B857B2"/>
    <w:rsid w:val="00B9754A"/>
    <w:rsid w:val="00BA45F5"/>
    <w:rsid w:val="00BB1C79"/>
    <w:rsid w:val="00BB37E8"/>
    <w:rsid w:val="00BB6541"/>
    <w:rsid w:val="00BD645C"/>
    <w:rsid w:val="00BF17A4"/>
    <w:rsid w:val="00BF54FD"/>
    <w:rsid w:val="00C11089"/>
    <w:rsid w:val="00C16734"/>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4F09"/>
    <w:rsid w:val="00D576E5"/>
    <w:rsid w:val="00D66BB5"/>
    <w:rsid w:val="00D719F6"/>
    <w:rsid w:val="00D832D4"/>
    <w:rsid w:val="00D872AC"/>
    <w:rsid w:val="00D93881"/>
    <w:rsid w:val="00DA0123"/>
    <w:rsid w:val="00DA4E38"/>
    <w:rsid w:val="00DC597B"/>
    <w:rsid w:val="00DE7E24"/>
    <w:rsid w:val="00DF1819"/>
    <w:rsid w:val="00E073D5"/>
    <w:rsid w:val="00E228B1"/>
    <w:rsid w:val="00E31215"/>
    <w:rsid w:val="00E60B46"/>
    <w:rsid w:val="00E64B55"/>
    <w:rsid w:val="00E73935"/>
    <w:rsid w:val="00EB087C"/>
    <w:rsid w:val="00EB2315"/>
    <w:rsid w:val="00EB2425"/>
    <w:rsid w:val="00EB3756"/>
    <w:rsid w:val="00EC729E"/>
    <w:rsid w:val="00EE343D"/>
    <w:rsid w:val="00EF1F1D"/>
    <w:rsid w:val="00F00EAE"/>
    <w:rsid w:val="00F02E56"/>
    <w:rsid w:val="00F13ABA"/>
    <w:rsid w:val="00F15683"/>
    <w:rsid w:val="00F26727"/>
    <w:rsid w:val="00F30A43"/>
    <w:rsid w:val="00F64009"/>
    <w:rsid w:val="00F84AC2"/>
    <w:rsid w:val="00F95BD6"/>
    <w:rsid w:val="00FB425D"/>
    <w:rsid w:val="00FC3D17"/>
    <w:rsid w:val="00FD40F3"/>
    <w:rsid w:val="00FF6C83"/>
    <w:rsid w:val="12E405F0"/>
    <w:rsid w:val="18D8C94C"/>
    <w:rsid w:val="1E74FD73"/>
    <w:rsid w:val="21BC26E3"/>
    <w:rsid w:val="27FEB39F"/>
    <w:rsid w:val="2BDC55A8"/>
    <w:rsid w:val="492709F4"/>
    <w:rsid w:val="59D3369C"/>
    <w:rsid w:val="59D87ECF"/>
    <w:rsid w:val="64293AEA"/>
    <w:rsid w:val="70F74630"/>
    <w:rsid w:val="72898535"/>
    <w:rsid w:val="7B4F1967"/>
    <w:rsid w:val="7E47A8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8E4A0E"/>
  <w15:chartTrackingRefBased/>
  <w15:docId w15:val="{7E43DF53-FA9F-4F9D-98F0-5A668FA61A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styleId="CommentTextChar" w:customStyle="1">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tasks.xml><?xml version="1.0" encoding="utf-8"?>
<t:Tasks xmlns:t="http://schemas.microsoft.com/office/tasks/2019/documenttasks" xmlns:oel="http://schemas.microsoft.com/office/2019/extlst">
  <t:Task id="{77E2ACED-F5F2-4B19-B4BC-0A4E0B992121}">
    <t:Anchor>
      <t:Comment id="1022002032"/>
    </t:Anchor>
    <t:History>
      <t:Event id="{CAA6BC8B-3DA8-4266-9E61-B403F00F5829}" time="2024-09-19T13:03:58.851Z">
        <t:Attribution userId="S::clifford.amoko@savethechildren.org::1d74dddf-2530-470a-a8e9-8ac1fa2509c6" userProvider="AD" userName="Amoko, Clifford"/>
        <t:Anchor>
          <t:Comment id="1022002032"/>
        </t:Anchor>
        <t:Create/>
      </t:Event>
      <t:Event id="{9748CFA9-D21F-4EC0-9C65-7CEEB0C4982D}" time="2024-09-19T13:03:58.851Z">
        <t:Attribution userId="S::clifford.amoko@savethechildren.org::1d74dddf-2530-470a-a8e9-8ac1fa2509c6" userProvider="AD" userName="Amoko, Clifford"/>
        <t:Anchor>
          <t:Comment id="1022002032"/>
        </t:Anchor>
        <t:Assign userId="S::Louise.Dandy@savethechildren.org::16ffc770-e59b-434d-a340-23ed2841455f" userProvider="AD" userName="Dandy, Louise"/>
      </t:Event>
      <t:Event id="{704A9C1B-1122-4D65-A2CD-EF51DC6784E3}" time="2024-09-19T13:03:58.851Z">
        <t:Attribution userId="S::clifford.amoko@savethechildren.org::1d74dddf-2530-470a-a8e9-8ac1fa2509c6" userProvider="AD" userName="Amoko, Clifford"/>
        <t:Anchor>
          <t:Comment id="1022002032"/>
        </t:Anchor>
        <t:SetTitle title="@Dandy, Louise Kindly confirm the grad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d52fd35a25614d63" /><Relationship Type="http://schemas.microsoft.com/office/2011/relationships/people" Target="people.xml" Id="R612acdd6db1f4958" /><Relationship Type="http://schemas.microsoft.com/office/2011/relationships/commentsExtended" Target="commentsExtended.xml" Id="R101c21af319347e4" /><Relationship Type="http://schemas.microsoft.com/office/2016/09/relationships/commentsIds" Target="commentsIds.xml" Id="Rf09c8bf06f864b1f" /><Relationship Type="http://schemas.microsoft.com/office/2018/08/relationships/commentsExtensible" Target="commentsExtensible.xml" Id="Ra5fa5de38db647fd" /><Relationship Type="http://schemas.microsoft.com/office/2019/05/relationships/documenttasks" Target="tasks.xml" Id="Ra711c3c0409f41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282D-7E75-464E-957C-D881DD96A7AD}">
  <ds:schemaRefs>
    <ds:schemaRef ds:uri="http://schemas.microsoft.com/sharepoint/v3/contenttype/forms"/>
  </ds:schemaRefs>
</ds:datastoreItem>
</file>

<file path=customXml/itemProps2.xml><?xml version="1.0" encoding="utf-8"?>
<ds:datastoreItem xmlns:ds="http://schemas.openxmlformats.org/officeDocument/2006/customXml" ds:itemID="{A1946985-603D-4CBE-9ADB-060DCA5FD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0AEC2-2F86-45BD-A8CB-72CB597A7C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Coats - Role Profile Template_Example.doc</dc:title>
  <dc:subject/>
  <dc:creator>Mercer Human Resource Consulting Limited</dc:creator>
  <keywords/>
  <lastModifiedBy>Taylor1, Claire</lastModifiedBy>
  <revision>8</revision>
  <lastPrinted>2024-07-22T22:32:00.0000000Z</lastPrinted>
  <dcterms:created xsi:type="dcterms:W3CDTF">2024-09-18T11:38:00.0000000Z</dcterms:created>
  <dcterms:modified xsi:type="dcterms:W3CDTF">2024-09-24T15:15:06.9131129Z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